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4220C" w14:textId="77777777" w:rsidR="00DC320F" w:rsidRPr="00FD642B" w:rsidRDefault="00A607E8" w:rsidP="00044560">
      <w:pPr>
        <w:spacing w:before="100" w:beforeAutospacing="1" w:after="100" w:afterAutospacing="1" w:line="384" w:lineRule="exact"/>
        <w:rPr>
          <w:rFonts w:eastAsia="Franklin Gothic Book"/>
          <w:b/>
          <w:sz w:val="32"/>
          <w:szCs w:val="32"/>
        </w:rPr>
      </w:pPr>
      <w:r w:rsidRPr="00FD642B">
        <w:rPr>
          <w:rFonts w:eastAsia="Franklin Gothic Book"/>
          <w:b/>
          <w:sz w:val="32"/>
          <w:szCs w:val="32"/>
        </w:rPr>
        <w:t>Руководство по ответственной работе с платиной/палладием</w:t>
      </w:r>
    </w:p>
    <w:p w14:paraId="2B6B134F" w14:textId="77777777" w:rsidR="00DC320F" w:rsidRPr="00FD642B" w:rsidRDefault="00A607E8" w:rsidP="00FD642B">
      <w:pPr>
        <w:spacing w:before="143"/>
        <w:rPr>
          <w:rFonts w:eastAsia="Franklin Gothic Book"/>
          <w:sz w:val="24"/>
          <w:szCs w:val="32"/>
          <w:lang w:bidi="ru-RU"/>
        </w:rPr>
      </w:pPr>
      <w:r w:rsidRPr="00FD642B">
        <w:rPr>
          <w:rFonts w:eastAsia="Franklin Gothic Book"/>
          <w:sz w:val="24"/>
          <w:szCs w:val="32"/>
          <w:lang w:bidi="ru-RU"/>
        </w:rPr>
        <w:t>Версия 3 - март 2021 г.</w:t>
      </w:r>
    </w:p>
    <w:p w14:paraId="693395C6" w14:textId="77777777"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t>Введение</w:t>
      </w:r>
    </w:p>
    <w:p w14:paraId="287324D6" w14:textId="246E5CFA" w:rsidR="00DC320F" w:rsidRPr="00FD642B" w:rsidRDefault="00A607E8" w:rsidP="00FD642B">
      <w:pPr>
        <w:pStyle w:val="a3"/>
        <w:widowControl/>
        <w:tabs>
          <w:tab w:val="left" w:pos="426"/>
        </w:tabs>
        <w:spacing w:before="100" w:beforeAutospacing="1" w:after="100" w:afterAutospacing="1" w:line="320" w:lineRule="exact"/>
        <w:jc w:val="both"/>
        <w:rPr>
          <w:sz w:val="24"/>
        </w:rPr>
      </w:pPr>
      <w:proofErr w:type="gramStart"/>
      <w:r w:rsidRPr="00FD642B">
        <w:rPr>
          <w:i/>
          <w:sz w:val="24"/>
          <w:lang w:bidi="ru-RU"/>
        </w:rPr>
        <w:t>Руководство по ответственной работе с платиной/палладием</w:t>
      </w:r>
      <w:r w:rsidRPr="00FD642B">
        <w:rPr>
          <w:sz w:val="24"/>
          <w:lang w:bidi="ru-RU"/>
        </w:rPr>
        <w:t xml:space="preserve"> для Аффинажных предприятий, продукция которых имеет статус «надежная поставка», и членов </w:t>
      </w:r>
      <w:proofErr w:type="spellStart"/>
      <w:r w:rsidR="0086602C" w:rsidRPr="00FD642B">
        <w:rPr>
          <w:sz w:val="24"/>
          <w:lang w:bidi="ru-RU"/>
        </w:rPr>
        <w:t>аккредитационных</w:t>
      </w:r>
      <w:proofErr w:type="spellEnd"/>
      <w:r w:rsidR="0086602C" w:rsidRPr="00FD642B">
        <w:rPr>
          <w:sz w:val="24"/>
          <w:lang w:bidi="ru-RU"/>
        </w:rPr>
        <w:t xml:space="preserve"> списков предприятий, допущенных к работе с металлами губчатой структуры</w:t>
      </w:r>
      <w:r w:rsidRPr="00FD642B">
        <w:rPr>
          <w:sz w:val="24"/>
          <w:lang w:bidi="ru-RU"/>
        </w:rPr>
        <w:t>, было создано</w:t>
      </w:r>
      <w:r w:rsidR="00200AC9" w:rsidRPr="00FD642B">
        <w:rPr>
          <w:sz w:val="24"/>
          <w:lang w:bidi="ru-RU"/>
        </w:rPr>
        <w:t xml:space="preserve"> </w:t>
      </w:r>
      <w:r w:rsidRPr="00FD642B">
        <w:rPr>
          <w:sz w:val="24"/>
          <w:lang w:bidi="ru-RU"/>
        </w:rPr>
        <w:t>с целью борьбы с систематическими или широко распространенными нарушениями прав человека, предотвращения разжигания конфликтов, а также соблюдения высоких стандартов противодействия отмыванию денег и финансированию терроризма.</w:t>
      </w:r>
      <w:proofErr w:type="gramEnd"/>
      <w:r w:rsidRPr="00FD642B">
        <w:rPr>
          <w:sz w:val="24"/>
          <w:lang w:bidi="ru-RU"/>
        </w:rPr>
        <w:t xml:space="preserve"> В данном </w:t>
      </w:r>
      <w:r w:rsidRPr="00FD642B">
        <w:rPr>
          <w:i/>
          <w:sz w:val="24"/>
          <w:lang w:bidi="ru-RU"/>
        </w:rPr>
        <w:t>Руководстве</w:t>
      </w:r>
      <w:r w:rsidRPr="00FD642B">
        <w:rPr>
          <w:sz w:val="24"/>
          <w:lang w:bidi="ru-RU"/>
        </w:rPr>
        <w:t xml:space="preserve"> закреплены существующие высокие стандарты проведения комплексной экспертизы, которые соблюдаются всеми аффинажными предприятиями, производящими металлы платиновой группы.</w:t>
      </w:r>
    </w:p>
    <w:p w14:paraId="42666A6D" w14:textId="77777777" w:rsidR="00DC320F" w:rsidRPr="00FD642B" w:rsidRDefault="00A607E8" w:rsidP="00FD642B">
      <w:pPr>
        <w:pStyle w:val="a3"/>
        <w:widowControl/>
        <w:tabs>
          <w:tab w:val="left" w:pos="426"/>
        </w:tabs>
        <w:spacing w:before="100" w:beforeAutospacing="1" w:after="100" w:afterAutospacing="1" w:line="320" w:lineRule="exact"/>
        <w:jc w:val="both"/>
        <w:rPr>
          <w:sz w:val="24"/>
        </w:rPr>
      </w:pPr>
      <w:r w:rsidRPr="00FD642B">
        <w:rPr>
          <w:sz w:val="24"/>
          <w:lang w:bidi="ru-RU"/>
        </w:rPr>
        <w:t xml:space="preserve">В </w:t>
      </w:r>
      <w:r w:rsidRPr="00FD642B">
        <w:rPr>
          <w:i/>
          <w:sz w:val="24"/>
          <w:lang w:bidi="ru-RU"/>
        </w:rPr>
        <w:t>Руководстве</w:t>
      </w:r>
      <w:r w:rsidRPr="00FD642B">
        <w:rPr>
          <w:sz w:val="24"/>
          <w:lang w:bidi="ru-RU"/>
        </w:rPr>
        <w:t xml:space="preserve"> используется пятиэтапная схема комплексной экспертизы с учетом рисков, приведенная в Руководящих принципах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принятой 15 декабря 2010 г.</w:t>
      </w:r>
    </w:p>
    <w:p w14:paraId="55972E67" w14:textId="7D8B88DE" w:rsidR="00DC320F" w:rsidRPr="00FD642B" w:rsidRDefault="00A607E8" w:rsidP="00FD642B">
      <w:pPr>
        <w:pStyle w:val="a3"/>
        <w:widowControl/>
        <w:tabs>
          <w:tab w:val="left" w:pos="426"/>
        </w:tabs>
        <w:spacing w:before="100" w:beforeAutospacing="1" w:after="100" w:afterAutospacing="1" w:line="320" w:lineRule="exact"/>
        <w:jc w:val="both"/>
        <w:rPr>
          <w:sz w:val="24"/>
        </w:rPr>
      </w:pPr>
      <w:r w:rsidRPr="00FD642B">
        <w:rPr>
          <w:sz w:val="24"/>
          <w:lang w:bidi="ru-RU"/>
        </w:rPr>
        <w:t xml:space="preserve">Для выполнения требований данного </w:t>
      </w:r>
      <w:r w:rsidRPr="00FD642B">
        <w:rPr>
          <w:i/>
          <w:sz w:val="24"/>
          <w:lang w:bidi="ru-RU"/>
        </w:rPr>
        <w:t>Руководства</w:t>
      </w:r>
      <w:r w:rsidRPr="00FD642B">
        <w:rPr>
          <w:sz w:val="24"/>
          <w:lang w:bidi="ru-RU"/>
        </w:rPr>
        <w:t xml:space="preserve"> аффинажным предприятиям следует использовать Набор инструментов (доступен на веб-сайте Лондонского рынка платины и палладия) Все существенные отклонения от объема Набора инструментов должны быть обоснованы (Аффинажные предприятия должны либо соблюдать требования</w:t>
      </w:r>
      <w:r w:rsidR="00A75620" w:rsidRPr="00FD642B">
        <w:rPr>
          <w:sz w:val="24"/>
          <w:lang w:bidi="ru-RU"/>
        </w:rPr>
        <w:t>,</w:t>
      </w:r>
      <w:r w:rsidRPr="00FD642B">
        <w:rPr>
          <w:sz w:val="24"/>
          <w:lang w:bidi="ru-RU"/>
        </w:rPr>
        <w:t xml:space="preserve"> либо объяснить их несоблюдение).</w:t>
      </w:r>
    </w:p>
    <w:p w14:paraId="4B82E5A3" w14:textId="77777777" w:rsidR="00DC320F" w:rsidRPr="00FD642B" w:rsidRDefault="00A607E8" w:rsidP="00FD642B">
      <w:pPr>
        <w:pStyle w:val="a3"/>
        <w:widowControl/>
        <w:tabs>
          <w:tab w:val="left" w:pos="426"/>
        </w:tabs>
        <w:spacing w:before="100" w:beforeAutospacing="1" w:after="100" w:afterAutospacing="1" w:line="320" w:lineRule="exact"/>
        <w:jc w:val="both"/>
        <w:rPr>
          <w:sz w:val="24"/>
        </w:rPr>
      </w:pPr>
      <w:r w:rsidRPr="00FD642B">
        <w:rPr>
          <w:sz w:val="24"/>
          <w:lang w:bidi="ru-RU"/>
        </w:rPr>
        <w:t xml:space="preserve">Данное </w:t>
      </w:r>
      <w:r w:rsidRPr="00FD642B">
        <w:rPr>
          <w:i/>
          <w:sz w:val="24"/>
          <w:lang w:bidi="ru-RU"/>
        </w:rPr>
        <w:t>Руководство</w:t>
      </w:r>
      <w:r w:rsidRPr="00FD642B">
        <w:rPr>
          <w:sz w:val="24"/>
          <w:lang w:bidi="ru-RU"/>
        </w:rPr>
        <w:t xml:space="preserve"> следует рассматривать как минимально необходимые требования, на которых должна основываться и улучшаться практика проведения аффинажными предприятиями комплексной экспертизы в каждой из ключевых областей. Концепция непрерывного совершенствования является неотъемлемым компонентом программ ответственного выбора поставщиков и лежит в основе пятиэтапной схемы.</w:t>
      </w:r>
    </w:p>
    <w:p w14:paraId="491CD5B2" w14:textId="77777777" w:rsidR="00DC320F" w:rsidRPr="00FD642B" w:rsidRDefault="00A607E8" w:rsidP="00FD642B">
      <w:pPr>
        <w:pStyle w:val="a3"/>
        <w:widowControl/>
        <w:tabs>
          <w:tab w:val="left" w:pos="426"/>
        </w:tabs>
        <w:spacing w:before="100" w:beforeAutospacing="1" w:after="100" w:afterAutospacing="1" w:line="320" w:lineRule="exact"/>
        <w:jc w:val="both"/>
        <w:rPr>
          <w:sz w:val="24"/>
        </w:rPr>
      </w:pPr>
      <w:r w:rsidRPr="00FD642B">
        <w:rPr>
          <w:sz w:val="24"/>
          <w:lang w:bidi="ru-RU"/>
        </w:rPr>
        <w:t>Отрасль также поддерживает инициативы, способствующие созданию ответственных цепочек поставок для всех форм добычи в районах, считающихся зонами высокого риска возникновения конфликтов или нарушения прав человека.</w:t>
      </w:r>
    </w:p>
    <w:p w14:paraId="3C2F5670" w14:textId="77777777"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t>Область применения</w:t>
      </w:r>
    </w:p>
    <w:p w14:paraId="37407C3C" w14:textId="72ED240B" w:rsidR="00DC320F" w:rsidRPr="00FD642B" w:rsidRDefault="00A607E8" w:rsidP="00FD642B">
      <w:pPr>
        <w:pStyle w:val="a3"/>
        <w:widowControl/>
        <w:tabs>
          <w:tab w:val="left" w:pos="426"/>
        </w:tabs>
        <w:spacing w:before="100" w:beforeAutospacing="1" w:after="100" w:afterAutospacing="1" w:line="320" w:lineRule="exact"/>
        <w:jc w:val="both"/>
        <w:rPr>
          <w:sz w:val="24"/>
          <w:lang w:bidi="ru-RU"/>
        </w:rPr>
      </w:pPr>
      <w:r w:rsidRPr="00FD642B">
        <w:rPr>
          <w:sz w:val="24"/>
          <w:lang w:bidi="ru-RU"/>
        </w:rPr>
        <w:t xml:space="preserve">Все Аффинажные предприятия, продукция которых имеет статус «надежная поставка», производящие платину/палладий, и члены </w:t>
      </w:r>
      <w:proofErr w:type="spellStart"/>
      <w:r w:rsidR="0086602C" w:rsidRPr="00FD642B">
        <w:rPr>
          <w:sz w:val="24"/>
          <w:lang w:bidi="ru-RU"/>
        </w:rPr>
        <w:t>аккредитационных</w:t>
      </w:r>
      <w:proofErr w:type="spellEnd"/>
      <w:r w:rsidR="0086602C" w:rsidRPr="00FD642B">
        <w:rPr>
          <w:sz w:val="24"/>
          <w:lang w:bidi="ru-RU"/>
        </w:rPr>
        <w:t xml:space="preserve"> списков предприятий, допущенных к работе с металлами губчатой структуры</w:t>
      </w:r>
      <w:r w:rsidRPr="00FD642B">
        <w:rPr>
          <w:sz w:val="24"/>
          <w:lang w:bidi="ru-RU"/>
        </w:rPr>
        <w:t xml:space="preserve"> («Аффинажные </w:t>
      </w:r>
      <w:r w:rsidRPr="00FD642B">
        <w:rPr>
          <w:sz w:val="24"/>
          <w:lang w:bidi="ru-RU"/>
        </w:rPr>
        <w:lastRenderedPageBreak/>
        <w:t xml:space="preserve">предприятия») должны соблюдать данное Руководство по ответственной работе с платиной/палладием, чтобы оставаться в утвержденном </w:t>
      </w:r>
      <w:r w:rsidR="00DA0B70" w:rsidRPr="00FD642B">
        <w:rPr>
          <w:sz w:val="24"/>
          <w:lang w:bidi="ru-RU"/>
        </w:rPr>
        <w:t>Списке предприятий, допущенных к работе с платиной/палладием</w:t>
      </w:r>
      <w:r w:rsidRPr="00FD642B">
        <w:rPr>
          <w:sz w:val="24"/>
          <w:lang w:bidi="ru-RU"/>
        </w:rPr>
        <w:t xml:space="preserve">. Невыполнение этого длящегося обязательства может привести к временному отстранению или исключению аффинажного предприятия из Списка надежных поставщиков или </w:t>
      </w:r>
      <w:proofErr w:type="spellStart"/>
      <w:r w:rsidR="0086602C" w:rsidRPr="00FD642B">
        <w:rPr>
          <w:sz w:val="24"/>
          <w:lang w:bidi="ru-RU"/>
        </w:rPr>
        <w:t>аккредитационных</w:t>
      </w:r>
      <w:proofErr w:type="spellEnd"/>
      <w:r w:rsidR="0086602C" w:rsidRPr="00FD642B">
        <w:rPr>
          <w:sz w:val="24"/>
          <w:lang w:bidi="ru-RU"/>
        </w:rPr>
        <w:t xml:space="preserve"> списков предприятий, допущенных к работе с металлами губчатой структуры</w:t>
      </w:r>
      <w:r w:rsidRPr="00FD642B">
        <w:rPr>
          <w:sz w:val="24"/>
          <w:lang w:bidi="ru-RU"/>
        </w:rPr>
        <w:t>, по собственному усмотрению Лондонского рынка платины и палладия.</w:t>
      </w:r>
    </w:p>
    <w:p w14:paraId="307F3DA6" w14:textId="77777777" w:rsidR="00DC320F" w:rsidRPr="00FD642B" w:rsidRDefault="00A607E8" w:rsidP="00FD642B">
      <w:pPr>
        <w:pStyle w:val="a3"/>
        <w:widowControl/>
        <w:tabs>
          <w:tab w:val="left" w:pos="426"/>
        </w:tabs>
        <w:spacing w:before="100" w:beforeAutospacing="1" w:after="100" w:afterAutospacing="1" w:line="320" w:lineRule="exact"/>
        <w:jc w:val="both"/>
        <w:rPr>
          <w:sz w:val="24"/>
          <w:lang w:bidi="ru-RU"/>
        </w:rPr>
      </w:pPr>
      <w:r w:rsidRPr="00FD642B">
        <w:rPr>
          <w:sz w:val="24"/>
          <w:lang w:bidi="ru-RU"/>
        </w:rPr>
        <w:t>Аффинажное предприятие, претендующее на статус утвержденного Аффинажного предприятия, производящего платину/палладий, должен внедрить Руководство по ответственной работе с платиной/палладием и пройти аудит, охватывающий 12-месячный период, прежде чем быть включенным в Утвержденный список для платины/палладия. Все кандидаты должны привлечь аудитора, включенного в Список утвержденных поставщиков услуг Лондонского рынка платины и палладия (доступен на веб-сайте Лондонского рынка платины и палладия).</w:t>
      </w:r>
    </w:p>
    <w:p w14:paraId="1511399F" w14:textId="77777777"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t>Отказ от ответственности</w:t>
      </w:r>
    </w:p>
    <w:p w14:paraId="2CCEB886" w14:textId="5B41DAF2" w:rsidR="00DC320F" w:rsidRPr="00FD642B" w:rsidRDefault="00A607E8" w:rsidP="00FD642B">
      <w:pPr>
        <w:pStyle w:val="a3"/>
        <w:widowControl/>
        <w:tabs>
          <w:tab w:val="left" w:pos="426"/>
        </w:tabs>
        <w:spacing w:before="100" w:beforeAutospacing="1" w:after="100" w:afterAutospacing="1" w:line="320" w:lineRule="exact"/>
        <w:jc w:val="both"/>
        <w:rPr>
          <w:sz w:val="24"/>
          <w:lang w:bidi="ru-RU"/>
        </w:rPr>
      </w:pPr>
      <w:proofErr w:type="gramStart"/>
      <w:r w:rsidRPr="00FD642B">
        <w:rPr>
          <w:sz w:val="24"/>
          <w:lang w:bidi="ru-RU"/>
        </w:rPr>
        <w:t xml:space="preserve">Данное руководство предназначено для использования Аффинажными предприятиями, продукция которых имеет статус «надежная поставка», кандидатами на включение в Список надежных поставщиков, членами одного или обоих </w:t>
      </w:r>
      <w:proofErr w:type="spellStart"/>
      <w:r w:rsidR="0086602C" w:rsidRPr="00FD642B">
        <w:rPr>
          <w:sz w:val="24"/>
          <w:lang w:bidi="ru-RU"/>
        </w:rPr>
        <w:t>аккредитационных</w:t>
      </w:r>
      <w:proofErr w:type="spellEnd"/>
      <w:r w:rsidR="0086602C" w:rsidRPr="00FD642B">
        <w:rPr>
          <w:sz w:val="24"/>
          <w:lang w:bidi="ru-RU"/>
        </w:rPr>
        <w:t xml:space="preserve"> списков предприятий, допущенных к работе с металлами губчатой структуры</w:t>
      </w:r>
      <w:r w:rsidRPr="00FD642B">
        <w:rPr>
          <w:sz w:val="24"/>
          <w:lang w:bidi="ru-RU"/>
        </w:rPr>
        <w:t xml:space="preserve">, кандидатами на включение в один или оба </w:t>
      </w:r>
      <w:proofErr w:type="spellStart"/>
      <w:r w:rsidR="0086602C" w:rsidRPr="00FD642B">
        <w:rPr>
          <w:sz w:val="24"/>
          <w:lang w:bidi="ru-RU"/>
        </w:rPr>
        <w:t>аккредитационных</w:t>
      </w:r>
      <w:proofErr w:type="spellEnd"/>
      <w:r w:rsidR="0086602C" w:rsidRPr="00FD642B">
        <w:rPr>
          <w:sz w:val="24"/>
          <w:lang w:bidi="ru-RU"/>
        </w:rPr>
        <w:t xml:space="preserve"> списка предприятий, допущенных к работе с металлами губчатой структуры </w:t>
      </w:r>
      <w:r w:rsidRPr="00FD642B">
        <w:rPr>
          <w:sz w:val="24"/>
          <w:lang w:bidi="ru-RU"/>
        </w:rPr>
        <w:t>и Аудиторами, утвержденными Лондонским рынком платины и палладия.</w:t>
      </w:r>
      <w:proofErr w:type="gramEnd"/>
      <w:r w:rsidRPr="00FD642B">
        <w:rPr>
          <w:sz w:val="24"/>
          <w:lang w:bidi="ru-RU"/>
        </w:rPr>
        <w:t xml:space="preserve"> </w:t>
      </w:r>
      <w:proofErr w:type="gramStart"/>
      <w:r w:rsidRPr="00FD642B">
        <w:rPr>
          <w:sz w:val="24"/>
          <w:lang w:bidi="ru-RU"/>
        </w:rPr>
        <w:t>Третьим лицам не следует полагаться на настоящее Руководство в целях подтверждения достоверности информации, в рамках комплексной экспертизы, для обеспечения нормативно-правового соответствия или в</w:t>
      </w:r>
      <w:r w:rsidR="00200AC9" w:rsidRPr="00FD642B">
        <w:rPr>
          <w:sz w:val="24"/>
          <w:lang w:bidi="ru-RU"/>
        </w:rPr>
        <w:t xml:space="preserve"> </w:t>
      </w:r>
      <w:r w:rsidRPr="00FD642B">
        <w:rPr>
          <w:sz w:val="24"/>
          <w:lang w:bidi="ru-RU"/>
        </w:rPr>
        <w:t>других целях, и ни Лондонский рынок платины и палладия, ни входящие в его состав члены не несут ответственность в связи с таким использованием, а также за убытки, ущерб или обязательства, возникающие в результате использования настоящего Руководства третьими</w:t>
      </w:r>
      <w:proofErr w:type="gramEnd"/>
      <w:r w:rsidRPr="00FD642B">
        <w:rPr>
          <w:sz w:val="24"/>
          <w:lang w:bidi="ru-RU"/>
        </w:rPr>
        <w:t xml:space="preserve"> лицами по другой причине.</w:t>
      </w:r>
    </w:p>
    <w:p w14:paraId="07CD857A" w14:textId="77777777"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t>Определения</w:t>
      </w:r>
    </w:p>
    <w:p w14:paraId="26429404"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Противодействие отмыванию денег (AML) - Борьба с финансированием терроризма (CFT)</w:t>
      </w:r>
      <w:r w:rsidRPr="000D133D">
        <w:rPr>
          <w:sz w:val="24"/>
          <w:lang w:bidi="ru-RU"/>
        </w:rPr>
        <w:t xml:space="preserve"> Противодействие отмыванию денег/Борьба с финансированием терроризма.</w:t>
      </w:r>
    </w:p>
    <w:p w14:paraId="07137DE9" w14:textId="648115CE"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proofErr w:type="gramStart"/>
      <w:r w:rsidRPr="000D133D">
        <w:rPr>
          <w:b/>
          <w:sz w:val="24"/>
          <w:lang w:bidi="ru-RU"/>
        </w:rPr>
        <w:t>Утвержденный аудитор</w:t>
      </w:r>
      <w:r w:rsidRPr="000D133D">
        <w:rPr>
          <w:sz w:val="24"/>
          <w:lang w:bidi="ru-RU"/>
        </w:rPr>
        <w:t>: аудитор или поставщик услуг по подтверждению достоверности информации, утвержденный Лондонским рынком платины и палладия для проведения аудитов Ответственного выбора поставщиков для аффинажных предприятий, производящих драгоценные металлы, информация о котором опубликована в списке утвержденных аудиторов Лондонского рынка платины и палладия на веб-сайте Лондонского рынка платины и палладия</w:t>
      </w:r>
      <w:r w:rsidR="00200AC9" w:rsidRPr="000D133D">
        <w:rPr>
          <w:sz w:val="24"/>
          <w:lang w:bidi="ru-RU"/>
        </w:rPr>
        <w:t xml:space="preserve"> </w:t>
      </w:r>
      <w:r w:rsidRPr="000D133D">
        <w:rPr>
          <w:sz w:val="24"/>
          <w:lang w:bidi="ru-RU"/>
        </w:rPr>
        <w:t>(www.lppm.com).</w:t>
      </w:r>
      <w:proofErr w:type="gramEnd"/>
    </w:p>
    <w:p w14:paraId="4264F68E"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proofErr w:type="spellStart"/>
      <w:r w:rsidRPr="000D133D">
        <w:rPr>
          <w:b/>
          <w:sz w:val="24"/>
          <w:lang w:bidi="ru-RU"/>
        </w:rPr>
        <w:lastRenderedPageBreak/>
        <w:t>Бенефициарный</w:t>
      </w:r>
      <w:proofErr w:type="spellEnd"/>
      <w:r w:rsidRPr="000D133D">
        <w:rPr>
          <w:b/>
          <w:sz w:val="24"/>
          <w:lang w:bidi="ru-RU"/>
        </w:rPr>
        <w:t xml:space="preserve"> владелец</w:t>
      </w:r>
      <w:r w:rsidRPr="000D133D">
        <w:rPr>
          <w:sz w:val="24"/>
          <w:lang w:bidi="ru-RU"/>
        </w:rPr>
        <w:t xml:space="preserve">: </w:t>
      </w:r>
      <w:proofErr w:type="spellStart"/>
      <w:r w:rsidRPr="000D133D">
        <w:rPr>
          <w:sz w:val="24"/>
          <w:lang w:bidi="ru-RU"/>
        </w:rPr>
        <w:t>Бенефициарный</w:t>
      </w:r>
      <w:proofErr w:type="spellEnd"/>
      <w:r w:rsidRPr="000D133D">
        <w:rPr>
          <w:sz w:val="24"/>
          <w:lang w:bidi="ru-RU"/>
        </w:rPr>
        <w:t xml:space="preserve"> владелец означает физическое лицо, </w:t>
      </w:r>
      <w:proofErr w:type="gramStart"/>
      <w:r w:rsidRPr="000D133D">
        <w:rPr>
          <w:sz w:val="24"/>
          <w:lang w:bidi="ru-RU"/>
        </w:rPr>
        <w:t>которое</w:t>
      </w:r>
      <w:proofErr w:type="gramEnd"/>
      <w:r w:rsidRPr="000D133D">
        <w:rPr>
          <w:sz w:val="24"/>
          <w:lang w:bidi="ru-RU"/>
        </w:rPr>
        <w:t xml:space="preserve"> в конечном счете владеет или контролирует клиента и/или физическое лицо, от имени которого проводится сделка. В это определение также входят те лица, которые осуществляют окончательный фактический контроль (больше 25%) над юридическим лицом или организацией.</w:t>
      </w:r>
    </w:p>
    <w:p w14:paraId="39A0290D"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Разжигание конфликтов</w:t>
      </w:r>
      <w:r w:rsidRPr="000D133D">
        <w:rPr>
          <w:sz w:val="24"/>
          <w:lang w:bidi="ru-RU"/>
        </w:rPr>
        <w:t>: Содействие вооруженной агрессии между двумя или несколькими сторонами, которая приводит к нарушениям прав человека. Сторонами в конфликте могут выступать правительство, отряды самообороны, организованная преступность или террористические группы.</w:t>
      </w:r>
    </w:p>
    <w:p w14:paraId="33405079"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Страна происхождения</w:t>
      </w:r>
      <w:r w:rsidRPr="000D133D">
        <w:rPr>
          <w:sz w:val="24"/>
          <w:lang w:bidi="ru-RU"/>
        </w:rPr>
        <w:t>: Для Добытой (первичной) платины/палладия, никогда раньше не подвергавшейся аффинажу, местом происхождения является местонахождение самого рудника. Для Переработанной (вторичной) платины/палладия местом происхождения считается страна, из которой платина/палладий были отгружены до поступления на Аффинажное предприятие.</w:t>
      </w:r>
    </w:p>
    <w:p w14:paraId="7440C52E"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Минимальное пороговое значение</w:t>
      </w:r>
      <w:r w:rsidRPr="000D133D">
        <w:rPr>
          <w:sz w:val="24"/>
          <w:lang w:bidi="ru-RU"/>
        </w:rPr>
        <w:t>: Аффинажные предприятия обязаны проводить комплексную экспертизу всех источников поставок платины/палладия, которые они планируют подвергать аффинажу, даже если количество этих материалов невелико; однако, лабораторные пробы исключены из области применения данного руководства.</w:t>
      </w:r>
    </w:p>
    <w:p w14:paraId="760980B8"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Прежние запасы</w:t>
      </w:r>
      <w:r w:rsidRPr="000D133D">
        <w:rPr>
          <w:sz w:val="24"/>
          <w:lang w:bidi="ru-RU"/>
        </w:rPr>
        <w:t xml:space="preserve">: Платиновые/палладиевые инвестиционные продукты (слитки, монеты, губки и крупицы платинового/палладиевого песка в запечатанных контейнерах), хранящиеся в хранилищах банков по операциям с драгоценными металлами, хранилищах центральных банков, на биржах и аффинажных предприятиях, проверяемая дата по которым приходится до 1 января 2020 г. и происхождение которых определять не нужно. Сюда входят запасы, принадлежащие третьему лицу от имени компаний, включенных в список. </w:t>
      </w:r>
    </w:p>
    <w:p w14:paraId="30EC7597" w14:textId="716D9B18"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Права человека</w:t>
      </w:r>
      <w:r w:rsidRPr="000D133D">
        <w:rPr>
          <w:sz w:val="24"/>
          <w:lang w:bidi="ru-RU"/>
        </w:rPr>
        <w:t>: Для целей настоящего Руководства права человека означают права, определенные в Международной хартии прав человека. Хартия включает Всеобщую декларацию прав человека (1948 г.), Международный пакт об экономических, социальных и культурных правах (1966 г.), Международный пакт о гражданских и политических правах (1966 г.), а также два Факультативных протокола.</w:t>
      </w:r>
      <w:r w:rsidR="009E68A5" w:rsidRPr="00044560">
        <w:rPr>
          <w:vertAlign w:val="superscript"/>
          <w:lang w:bidi="ru-RU"/>
        </w:rPr>
        <w:footnoteReference w:id="1"/>
      </w:r>
    </w:p>
    <w:p w14:paraId="069AF40E"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ISAE 3000</w:t>
      </w:r>
      <w:r w:rsidRPr="000D133D">
        <w:rPr>
          <w:sz w:val="24"/>
          <w:lang w:bidi="ru-RU"/>
        </w:rPr>
        <w:t>: Международный стандарт по заданиям по подтверждению достоверности информации ISAE 3000, Задания по подтверждению достоверности информации, отличные от аудита или обзорных проверок исторической финансовой информации.</w:t>
      </w:r>
    </w:p>
    <w:p w14:paraId="4530439F"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Добытая платина/палладий</w:t>
      </w:r>
      <w:r w:rsidRPr="000D133D">
        <w:rPr>
          <w:sz w:val="24"/>
          <w:lang w:bidi="ru-RU"/>
        </w:rPr>
        <w:t xml:space="preserve">: Этот термин означает добытую на руднике платину/палладий или содержащий платину/палладий материал любой формы и </w:t>
      </w:r>
      <w:r w:rsidRPr="000D133D">
        <w:rPr>
          <w:sz w:val="24"/>
          <w:lang w:bidi="ru-RU"/>
        </w:rPr>
        <w:lastRenderedPageBreak/>
        <w:t>концентрации, до полного аффинажа (999.5 или выше), превращения в продукт переработки платины/палладия (например, слиток, крупицы) и продажи.</w:t>
      </w:r>
    </w:p>
    <w:p w14:paraId="58F976AB"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Попутный продукт добычи</w:t>
      </w:r>
      <w:r w:rsidRPr="000D133D">
        <w:rPr>
          <w:sz w:val="24"/>
          <w:lang w:bidi="ru-RU"/>
        </w:rPr>
        <w:t xml:space="preserve">: </w:t>
      </w:r>
      <w:proofErr w:type="gramStart"/>
      <w:r w:rsidRPr="000D133D">
        <w:rPr>
          <w:sz w:val="24"/>
          <w:lang w:bidi="ru-RU"/>
        </w:rPr>
        <w:t>Этот термин означает попутный продукт горных работ или процессов, например, платину/палладий, полученные при добыче цветных металлов - например, из свинцовой, цинковой, медной руды, в которой платина/палладий может быть следовым компонентом.</w:t>
      </w:r>
      <w:proofErr w:type="gramEnd"/>
      <w:r w:rsidRPr="000D133D">
        <w:rPr>
          <w:sz w:val="24"/>
          <w:lang w:bidi="ru-RU"/>
        </w:rPr>
        <w:t xml:space="preserve"> Происхождением платины/палладия как попутного продукта добычи следует считать место, в котором попутная платина/палладий впервые отделяется от материнской минеральной руды. Комплексная экспертиза, проводимая Аффинажным предприятием, должна подтвердить отсутствие ложных заверений с целью сокрытия происхождения недавно добытой платины/палладия с помощью Попутных продуктов добычи.</w:t>
      </w:r>
    </w:p>
    <w:p w14:paraId="776A8B56" w14:textId="41626A86"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Отмывание денег</w:t>
      </w:r>
      <w:r w:rsidRPr="000D133D">
        <w:rPr>
          <w:sz w:val="24"/>
          <w:lang w:bidi="ru-RU"/>
        </w:rPr>
        <w:t>: Отмывание денег - это практика сокрытия происхождения денег, полученных незаконным путем.</w:t>
      </w:r>
      <w:r w:rsidR="00200AC9" w:rsidRPr="000D133D">
        <w:rPr>
          <w:sz w:val="24"/>
          <w:lang w:bidi="ru-RU"/>
        </w:rPr>
        <w:t xml:space="preserve"> </w:t>
      </w:r>
      <w:r w:rsidRPr="000D133D">
        <w:rPr>
          <w:sz w:val="24"/>
          <w:lang w:bidi="ru-RU"/>
        </w:rPr>
        <w:t xml:space="preserve">В конечном счете, это процесс, с помощью которого доходы от преступной деятельности выдаются </w:t>
      </w:r>
      <w:proofErr w:type="gramStart"/>
      <w:r w:rsidRPr="000D133D">
        <w:rPr>
          <w:sz w:val="24"/>
          <w:lang w:bidi="ru-RU"/>
        </w:rPr>
        <w:t>за</w:t>
      </w:r>
      <w:proofErr w:type="gramEnd"/>
      <w:r w:rsidRPr="000D133D">
        <w:rPr>
          <w:sz w:val="24"/>
          <w:lang w:bidi="ru-RU"/>
        </w:rPr>
        <w:t xml:space="preserve"> законные. Деньги могут быть получены в результате совершения какого-либо количества преступных действий, включая торговлю наркотиками, коррупцию и иные виды мошенничества.  Способы отмывания денег разнообразны, </w:t>
      </w:r>
      <w:proofErr w:type="gramStart"/>
      <w:r w:rsidRPr="000D133D">
        <w:rPr>
          <w:sz w:val="24"/>
          <w:lang w:bidi="ru-RU"/>
        </w:rPr>
        <w:t>от</w:t>
      </w:r>
      <w:proofErr w:type="gramEnd"/>
      <w:r w:rsidRPr="000D133D">
        <w:rPr>
          <w:sz w:val="24"/>
          <w:lang w:bidi="ru-RU"/>
        </w:rPr>
        <w:t xml:space="preserve"> простых до сложных.</w:t>
      </w:r>
    </w:p>
    <w:p w14:paraId="6A77ECDA" w14:textId="46E172EF" w:rsidR="00DC320F" w:rsidRPr="000D133D" w:rsidRDefault="00860BFF"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Политически значимые лица (ПЗЛ)</w:t>
      </w:r>
      <w:r w:rsidRPr="000D133D">
        <w:rPr>
          <w:sz w:val="24"/>
          <w:lang w:bidi="ru-RU"/>
        </w:rPr>
        <w:t>:</w:t>
      </w:r>
      <w:r w:rsidR="00A607E8" w:rsidRPr="000D133D">
        <w:rPr>
          <w:sz w:val="24"/>
          <w:lang w:bidi="ru-RU"/>
        </w:rPr>
        <w:t xml:space="preserve"> </w:t>
      </w:r>
      <w:r w:rsidRPr="000D133D">
        <w:rPr>
          <w:sz w:val="24"/>
          <w:lang w:bidi="ru-RU"/>
        </w:rPr>
        <w:t>Иностранные ПЗЛ означают лиц, на которых иностранным государством возложены или были возложены важные государственные функции, например главы государств или правительств, высокопоставленные политики, высокопоставленные правительственные, судебные или военные должностные лица, руководители высшего звена государственных корпораций, важные должностные лица политические партий. Внутренние ПЗЛ означают лиц, на которых возложены или были возложены важные государственные функции в рамках страны, например главы государств или правительств, высокопоставленные политики, высокопоставленные правительственные, судебные или военные должностные лица, руководители высшего звена государственных корпораций, важные должностные лица политические партий. Под лицами, на которых международной организацией возложены или были возложены важные функции, подразумеваются члены высшего руководства, то есть директоры, заместители директора, а также члены совета или аналогичных функций. Под определение ПЗЛ не попадают лица среднего или младшего звена в вышеуказанных категориях.</w:t>
      </w:r>
    </w:p>
    <w:p w14:paraId="563E1567" w14:textId="675C1FF8"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Переработанная платина/палладий</w:t>
      </w:r>
      <w:r w:rsidRPr="000D133D">
        <w:rPr>
          <w:sz w:val="24"/>
          <w:lang w:bidi="ru-RU"/>
        </w:rPr>
        <w:t xml:space="preserve">: Платина/палладий, которые были подвергнуты аффинажу. Этот термин традиционно включает все, что </w:t>
      </w:r>
      <w:proofErr w:type="gramStart"/>
      <w:r w:rsidRPr="000D133D">
        <w:rPr>
          <w:sz w:val="24"/>
          <w:lang w:bidi="ru-RU"/>
        </w:rPr>
        <w:t>содержит платину/палладий и при этом не было</w:t>
      </w:r>
      <w:proofErr w:type="gramEnd"/>
      <w:r w:rsidRPr="000D133D">
        <w:rPr>
          <w:sz w:val="24"/>
          <w:lang w:bidi="ru-RU"/>
        </w:rPr>
        <w:t xml:space="preserve"> получено непосредственно из рудника в его первом жизненном цикле платины/палладия. На практике к перерабатываемому материалу относится продукция для конечных пользователей, вторичная продукция, лом и отходы металлов, материалы, образующиеся при аффинаже и производстве продукции, а также инвестиционная платина/палладий и продукты, содержащие платину/палладий. В эту категорию также может входить полностью аффинированная платина/палладий, </w:t>
      </w:r>
      <w:r w:rsidR="00B923EB" w:rsidRPr="000D133D">
        <w:rPr>
          <w:sz w:val="24"/>
          <w:lang w:bidi="ru-RU"/>
        </w:rPr>
        <w:t xml:space="preserve">изготовленная </w:t>
      </w:r>
      <w:r w:rsidRPr="000D133D">
        <w:rPr>
          <w:sz w:val="24"/>
          <w:lang w:bidi="ru-RU"/>
        </w:rPr>
        <w:t>в</w:t>
      </w:r>
      <w:r w:rsidR="00B923EB" w:rsidRPr="000D133D">
        <w:rPr>
          <w:sz w:val="24"/>
          <w:lang w:bidi="ru-RU"/>
        </w:rPr>
        <w:t xml:space="preserve"> виде</w:t>
      </w:r>
      <w:r w:rsidRPr="000D133D">
        <w:rPr>
          <w:sz w:val="24"/>
          <w:lang w:bidi="ru-RU"/>
        </w:rPr>
        <w:t xml:space="preserve"> крупиц, </w:t>
      </w:r>
      <w:r w:rsidR="00B923EB" w:rsidRPr="000D133D">
        <w:rPr>
          <w:sz w:val="24"/>
          <w:lang w:bidi="ru-RU"/>
        </w:rPr>
        <w:t>слитков</w:t>
      </w:r>
      <w:r w:rsidRPr="000D133D">
        <w:rPr>
          <w:sz w:val="24"/>
          <w:lang w:bidi="ru-RU"/>
        </w:rPr>
        <w:t xml:space="preserve">, </w:t>
      </w:r>
      <w:r w:rsidR="00B923EB" w:rsidRPr="000D133D">
        <w:rPr>
          <w:sz w:val="24"/>
          <w:lang w:bidi="ru-RU"/>
        </w:rPr>
        <w:lastRenderedPageBreak/>
        <w:t xml:space="preserve">медальонов </w:t>
      </w:r>
      <w:r w:rsidRPr="000D133D">
        <w:rPr>
          <w:sz w:val="24"/>
          <w:lang w:bidi="ru-RU"/>
        </w:rPr>
        <w:t xml:space="preserve">и монет, ранее </w:t>
      </w:r>
      <w:r w:rsidR="00B923EB" w:rsidRPr="000D133D">
        <w:rPr>
          <w:sz w:val="24"/>
          <w:lang w:bidi="ru-RU"/>
        </w:rPr>
        <w:t xml:space="preserve">проданных </w:t>
      </w:r>
      <w:r w:rsidRPr="000D133D">
        <w:rPr>
          <w:sz w:val="24"/>
          <w:lang w:bidi="ru-RU"/>
        </w:rPr>
        <w:t>аффинажным предприятием производителю, банку или потребительскому рынку, и которые впоследствии может потребоваться вернуть на аффинажное предприятие для восстановления их финансовой стоимости, включая прежние запасы.</w:t>
      </w:r>
    </w:p>
    <w:p w14:paraId="618C13F4"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Контрагент-поставщик платины/палладия</w:t>
      </w:r>
      <w:r w:rsidRPr="000D133D">
        <w:rPr>
          <w:sz w:val="24"/>
          <w:lang w:bidi="ru-RU"/>
        </w:rPr>
        <w:t>: Поставщик платины/палладия, напрямую работающий с Аффинажным предприятием, производящим платину/палладий.</w:t>
      </w:r>
    </w:p>
    <w:p w14:paraId="01C4D6DB"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Губка</w:t>
      </w:r>
      <w:r w:rsidRPr="000D133D">
        <w:rPr>
          <w:sz w:val="24"/>
          <w:lang w:bidi="ru-RU"/>
        </w:rPr>
        <w:t>: Порошкообразная форма металла платиновой группы (МПГ). Губка - это форма, которая обычно требуется для производства многих химических веществ и катализаторов на основе МПГ.</w:t>
      </w:r>
    </w:p>
    <w:p w14:paraId="1D946E4A"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Поставщик</w:t>
      </w:r>
      <w:r w:rsidRPr="000D133D">
        <w:rPr>
          <w:sz w:val="24"/>
          <w:lang w:bidi="ru-RU"/>
        </w:rPr>
        <w:t>: Этот термин относится к физическому лицу или организации, которые считаются участником цепочки поставок платины/палладия и материалов, содержащих платину/палладий.</w:t>
      </w:r>
    </w:p>
    <w:p w14:paraId="5CFC89C3" w14:textId="5FF25760"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Финансировани</w:t>
      </w:r>
      <w:r w:rsidR="000D133D">
        <w:rPr>
          <w:b/>
          <w:sz w:val="24"/>
          <w:lang w:bidi="ru-RU"/>
        </w:rPr>
        <w:t>е</w:t>
      </w:r>
      <w:r w:rsidRPr="000D133D">
        <w:rPr>
          <w:b/>
          <w:sz w:val="24"/>
          <w:lang w:bidi="ru-RU"/>
        </w:rPr>
        <w:t xml:space="preserve"> терроризма</w:t>
      </w:r>
      <w:r w:rsidRPr="000D133D">
        <w:rPr>
          <w:sz w:val="24"/>
          <w:lang w:bidi="ru-RU"/>
        </w:rPr>
        <w:t>: Финансирование терроризма включает финансирование террористических актов, террористов и террористических организаций.</w:t>
      </w:r>
    </w:p>
    <w:p w14:paraId="5F3DEE75" w14:textId="77777777" w:rsidR="00DC320F" w:rsidRPr="000D133D" w:rsidRDefault="00A607E8" w:rsidP="000D133D">
      <w:pPr>
        <w:pStyle w:val="a3"/>
        <w:widowControl/>
        <w:tabs>
          <w:tab w:val="left" w:pos="426"/>
        </w:tabs>
        <w:spacing w:before="100" w:beforeAutospacing="1" w:after="100" w:afterAutospacing="1" w:line="320" w:lineRule="exact"/>
        <w:jc w:val="both"/>
        <w:rPr>
          <w:sz w:val="24"/>
          <w:lang w:bidi="ru-RU"/>
        </w:rPr>
      </w:pPr>
      <w:r w:rsidRPr="000D133D">
        <w:rPr>
          <w:b/>
          <w:sz w:val="24"/>
          <w:lang w:bidi="ru-RU"/>
        </w:rPr>
        <w:t>Проверяемая дата</w:t>
      </w:r>
      <w:r w:rsidRPr="000D133D">
        <w:rPr>
          <w:sz w:val="24"/>
          <w:lang w:bidi="ru-RU"/>
        </w:rPr>
        <w:t>: Дата, которую можно проверить путем изучения физических штампов с датой на продуктах и/или инвентарных списках. К прежним запасам Аффинажного предприятия, с последующей датой или без проверяемой даты, применяются те же требования, что и к другим материалам, содержащим платину/палладий; то есть Аффинажное предприятие должно предоставить тот же объем исходной документации/документации по руднику.</w:t>
      </w:r>
    </w:p>
    <w:p w14:paraId="799F1F57" w14:textId="77777777" w:rsidR="009E68A5" w:rsidRDefault="009E68A5">
      <w:pPr>
        <w:rPr>
          <w:rFonts w:ascii="Times New Roman" w:hAnsi="Times New Roman"/>
          <w:b/>
          <w:bCs/>
          <w:sz w:val="24"/>
          <w:szCs w:val="27"/>
          <w:lang w:bidi="ru-RU"/>
        </w:rPr>
      </w:pPr>
      <w:r>
        <w:rPr>
          <w:rFonts w:ascii="Times New Roman" w:hAnsi="Times New Roman"/>
          <w:sz w:val="24"/>
          <w:lang w:bidi="ru-RU"/>
        </w:rPr>
        <w:br w:type="page"/>
      </w:r>
    </w:p>
    <w:p w14:paraId="33B3DCA6" w14:textId="54436547"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lastRenderedPageBreak/>
        <w:t>Ш</w:t>
      </w:r>
      <w:r w:rsidR="009E68A5" w:rsidRPr="00FD642B">
        <w:rPr>
          <w:rFonts w:eastAsia="Franklin Gothic Book"/>
          <w:bCs w:val="0"/>
          <w:sz w:val="32"/>
          <w:szCs w:val="32"/>
        </w:rPr>
        <w:t>АГ</w:t>
      </w:r>
      <w:r w:rsidR="00D87A10" w:rsidRPr="00FD642B">
        <w:rPr>
          <w:rFonts w:eastAsia="Franklin Gothic Book"/>
          <w:bCs w:val="0"/>
          <w:sz w:val="32"/>
          <w:szCs w:val="32"/>
        </w:rPr>
        <w:t> </w:t>
      </w:r>
      <w:r w:rsidRPr="00FD642B">
        <w:rPr>
          <w:rFonts w:eastAsia="Franklin Gothic Book"/>
          <w:bCs w:val="0"/>
          <w:sz w:val="32"/>
          <w:szCs w:val="32"/>
        </w:rPr>
        <w:t xml:space="preserve">1 </w:t>
      </w:r>
      <w:r w:rsidR="00B923EB" w:rsidRPr="00FD642B">
        <w:rPr>
          <w:rFonts w:eastAsia="Franklin Gothic Book"/>
          <w:bCs w:val="0"/>
          <w:sz w:val="32"/>
          <w:szCs w:val="32"/>
        </w:rPr>
        <w:t xml:space="preserve">– </w:t>
      </w:r>
      <w:r w:rsidRPr="00FD642B">
        <w:rPr>
          <w:rFonts w:eastAsia="Franklin Gothic Book"/>
          <w:bCs w:val="0"/>
          <w:sz w:val="32"/>
          <w:szCs w:val="32"/>
        </w:rPr>
        <w:t>Создание надежных систем управления компанией</w:t>
      </w:r>
    </w:p>
    <w:p w14:paraId="172EE94E" w14:textId="77777777" w:rsidR="00DC320F" w:rsidRPr="00044560" w:rsidRDefault="00A607E8" w:rsidP="009E68A5">
      <w:pPr>
        <w:pStyle w:val="2"/>
        <w:widowControl/>
        <w:numPr>
          <w:ilvl w:val="1"/>
          <w:numId w:val="7"/>
        </w:numPr>
        <w:tabs>
          <w:tab w:val="left" w:pos="426"/>
          <w:tab w:val="left" w:pos="812"/>
        </w:tabs>
        <w:spacing w:after="120"/>
        <w:ind w:left="0" w:firstLine="0"/>
        <w:jc w:val="left"/>
        <w:rPr>
          <w:sz w:val="24"/>
          <w:szCs w:val="24"/>
        </w:rPr>
      </w:pPr>
      <w:r w:rsidRPr="00044560">
        <w:rPr>
          <w:sz w:val="24"/>
          <w:szCs w:val="24"/>
          <w:lang w:bidi="ru-RU"/>
        </w:rPr>
        <w:t xml:space="preserve">Принятие политики компании в отношении комплексной </w:t>
      </w:r>
      <w:proofErr w:type="gramStart"/>
      <w:r w:rsidRPr="00044560">
        <w:rPr>
          <w:sz w:val="24"/>
          <w:szCs w:val="24"/>
          <w:lang w:bidi="ru-RU"/>
        </w:rPr>
        <w:t>экспертизы цепочек поставок платины/палладия</w:t>
      </w:r>
      <w:proofErr w:type="gramEnd"/>
    </w:p>
    <w:p w14:paraId="415CC529"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rPr>
      </w:pPr>
      <w:r w:rsidRPr="00044560">
        <w:rPr>
          <w:sz w:val="24"/>
          <w:szCs w:val="24"/>
          <w:lang w:bidi="ru-RU"/>
        </w:rPr>
        <w:t>Аффинажные предприятия должны внедрить политику ответственного подхода к цепочке поставок платины/палладия, которая соответствует Типовой политике, приведенной в Приложении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w:t>
      </w:r>
    </w:p>
    <w:p w14:paraId="0F1059B2"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обязаны проводить комплексную проверку всех поставляемых им материалов, независимо от содержания платины/палладия</w:t>
      </w:r>
      <w:proofErr w:type="gramStart"/>
      <w:r w:rsidRPr="00044560">
        <w:rPr>
          <w:sz w:val="24"/>
          <w:szCs w:val="24"/>
          <w:lang w:bidi="ru-RU"/>
        </w:rPr>
        <w:t xml:space="preserve"> (%) </w:t>
      </w:r>
      <w:proofErr w:type="gramEnd"/>
      <w:r w:rsidRPr="00044560">
        <w:rPr>
          <w:sz w:val="24"/>
          <w:szCs w:val="24"/>
          <w:lang w:bidi="ru-RU"/>
        </w:rPr>
        <w:t>или количества (унции).</w:t>
      </w:r>
    </w:p>
    <w:p w14:paraId="1B2B4EC6"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Политика должна охватывать, как минимум, следующие темы:</w:t>
      </w:r>
    </w:p>
    <w:p w14:paraId="710A2984" w14:textId="77777777"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Область применения;</w:t>
      </w:r>
    </w:p>
    <w:p w14:paraId="2DE7A045" w14:textId="77777777"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Организация и обязанности;</w:t>
      </w:r>
    </w:p>
    <w:p w14:paraId="29FC3F86" w14:textId="77777777"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Выявление и оценка рисков, включая все риски, описанные в Приложении II к Руководящим принципам ОЭСР;</w:t>
      </w:r>
    </w:p>
    <w:p w14:paraId="4D1DC3F5" w14:textId="38913C1F"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 xml:space="preserve">Критерии для цепочки поставок платины/палладия с высоким уровнем риска, которые, как минимум, соответствуют требованиям, предусмотренным Шагом 2.2 данного </w:t>
      </w:r>
      <w:r w:rsidRPr="00044560">
        <w:rPr>
          <w:i/>
          <w:sz w:val="24"/>
          <w:szCs w:val="24"/>
          <w:lang w:bidi="ru-RU"/>
        </w:rPr>
        <w:t>Руководства</w:t>
      </w:r>
      <w:r w:rsidR="00DE38BF" w:rsidRPr="00044560">
        <w:rPr>
          <w:sz w:val="24"/>
          <w:szCs w:val="24"/>
          <w:lang w:bidi="ru-RU"/>
        </w:rPr>
        <w:t>;</w:t>
      </w:r>
    </w:p>
    <w:p w14:paraId="09F36466" w14:textId="77777777"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Подробные и содержательные процедуры проведения Комплексной экспертизы цепочки поставок и процесса</w:t>
      </w:r>
      <w:proofErr w:type="gramStart"/>
      <w:r w:rsidRPr="00044560">
        <w:rPr>
          <w:sz w:val="24"/>
          <w:szCs w:val="24"/>
          <w:lang w:bidi="ru-RU"/>
        </w:rPr>
        <w:t xml:space="preserve"> </w:t>
      </w:r>
      <w:r w:rsidRPr="00044560">
        <w:rPr>
          <w:i/>
          <w:sz w:val="24"/>
          <w:szCs w:val="24"/>
          <w:lang w:bidi="ru-RU"/>
        </w:rPr>
        <w:t>З</w:t>
      </w:r>
      <w:proofErr w:type="gramEnd"/>
      <w:r w:rsidRPr="00044560">
        <w:rPr>
          <w:i/>
          <w:sz w:val="24"/>
          <w:szCs w:val="24"/>
          <w:lang w:bidi="ru-RU"/>
        </w:rPr>
        <w:t>най своего клиента</w:t>
      </w:r>
      <w:r w:rsidRPr="00044560">
        <w:rPr>
          <w:sz w:val="24"/>
          <w:szCs w:val="24"/>
          <w:lang w:bidi="ru-RU"/>
        </w:rPr>
        <w:t xml:space="preserve">, которые, как минимум, соответствуют требованиям, предусмотренным Шагом 2.2 данного </w:t>
      </w:r>
      <w:r w:rsidRPr="00044560">
        <w:rPr>
          <w:i/>
          <w:sz w:val="24"/>
          <w:szCs w:val="24"/>
          <w:lang w:bidi="ru-RU"/>
        </w:rPr>
        <w:t>Руководства</w:t>
      </w:r>
      <w:r w:rsidRPr="00044560">
        <w:rPr>
          <w:sz w:val="24"/>
          <w:szCs w:val="24"/>
          <w:lang w:bidi="ru-RU"/>
        </w:rPr>
        <w:t>;</w:t>
      </w:r>
    </w:p>
    <w:p w14:paraId="595F6117" w14:textId="77777777"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 xml:space="preserve">Мониторинг сделок, которые, как минимум, соответствуют требованиям, предусмотренным Шагом 2.2 данного </w:t>
      </w:r>
      <w:r w:rsidRPr="00044560">
        <w:rPr>
          <w:i/>
          <w:sz w:val="24"/>
          <w:szCs w:val="24"/>
          <w:lang w:bidi="ru-RU"/>
        </w:rPr>
        <w:t>Руководства</w:t>
      </w:r>
      <w:r w:rsidRPr="00044560">
        <w:rPr>
          <w:sz w:val="24"/>
          <w:szCs w:val="24"/>
          <w:lang w:bidi="ru-RU"/>
        </w:rPr>
        <w:t>;</w:t>
      </w:r>
    </w:p>
    <w:p w14:paraId="3B1C867F" w14:textId="77777777" w:rsidR="00DC320F" w:rsidRPr="00044560"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 xml:space="preserve">Ведение учета документации по проведенным Комплексным экспертизам и системы </w:t>
      </w:r>
      <w:proofErr w:type="spellStart"/>
      <w:r w:rsidRPr="00044560">
        <w:rPr>
          <w:sz w:val="24"/>
          <w:szCs w:val="24"/>
          <w:lang w:bidi="ru-RU"/>
        </w:rPr>
        <w:t>прослеживаемости</w:t>
      </w:r>
      <w:proofErr w:type="spellEnd"/>
      <w:r w:rsidRPr="00044560">
        <w:rPr>
          <w:sz w:val="24"/>
          <w:szCs w:val="24"/>
          <w:lang w:bidi="ru-RU"/>
        </w:rPr>
        <w:t xml:space="preserve"> цепочки поставок;</w:t>
      </w:r>
    </w:p>
    <w:p w14:paraId="5060997E" w14:textId="77777777" w:rsidR="00DC320F" w:rsidRDefault="00A607E8" w:rsidP="009E68A5">
      <w:pPr>
        <w:pStyle w:val="a5"/>
        <w:widowControl/>
        <w:numPr>
          <w:ilvl w:val="0"/>
          <w:numId w:val="6"/>
        </w:numPr>
        <w:tabs>
          <w:tab w:val="left" w:pos="426"/>
          <w:tab w:val="left" w:pos="848"/>
        </w:tabs>
        <w:spacing w:after="120"/>
        <w:ind w:left="0" w:firstLine="0"/>
        <w:rPr>
          <w:sz w:val="24"/>
          <w:szCs w:val="24"/>
        </w:rPr>
      </w:pPr>
      <w:r w:rsidRPr="00044560">
        <w:rPr>
          <w:sz w:val="24"/>
          <w:szCs w:val="24"/>
          <w:lang w:bidi="ru-RU"/>
        </w:rPr>
        <w:t>Обучение персонала.</w:t>
      </w:r>
    </w:p>
    <w:p w14:paraId="70172EB8" w14:textId="77777777" w:rsidR="00044560" w:rsidRPr="00044560" w:rsidRDefault="00044560" w:rsidP="00044560">
      <w:pPr>
        <w:pStyle w:val="a5"/>
        <w:widowControl/>
        <w:tabs>
          <w:tab w:val="left" w:pos="426"/>
          <w:tab w:val="left" w:pos="848"/>
        </w:tabs>
        <w:spacing w:after="120"/>
        <w:ind w:left="0" w:firstLine="0"/>
        <w:rPr>
          <w:sz w:val="24"/>
          <w:szCs w:val="24"/>
        </w:rPr>
      </w:pPr>
    </w:p>
    <w:p w14:paraId="3E65B247" w14:textId="77777777" w:rsidR="00DC320F" w:rsidRPr="00044560" w:rsidRDefault="00A607E8" w:rsidP="009E68A5">
      <w:pPr>
        <w:pStyle w:val="2"/>
        <w:widowControl/>
        <w:numPr>
          <w:ilvl w:val="1"/>
          <w:numId w:val="7"/>
        </w:numPr>
        <w:tabs>
          <w:tab w:val="left" w:pos="426"/>
          <w:tab w:val="left" w:pos="812"/>
        </w:tabs>
        <w:spacing w:after="120"/>
        <w:ind w:left="0" w:firstLine="0"/>
        <w:jc w:val="left"/>
        <w:rPr>
          <w:sz w:val="24"/>
          <w:szCs w:val="24"/>
        </w:rPr>
      </w:pPr>
      <w:r w:rsidRPr="00044560">
        <w:rPr>
          <w:sz w:val="24"/>
          <w:szCs w:val="24"/>
          <w:lang w:bidi="ru-RU"/>
        </w:rPr>
        <w:t>Создание внутренней структуры управления для содействия проведению комплексной экспертизы цепочки поставок</w:t>
      </w:r>
    </w:p>
    <w:p w14:paraId="4F2247A9"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Внутренние системы управления аффинажных предприятий должны обеспечивать сбор и хранение документации об источниках Добытой платины/палладия, Переработанной платины/палладия или прочего сырья, чтобы гарантировать, что они не финансировали конфликты, не участвовали в нарушении прав человека или отмывании денег, не финансировали терроризм на каком-либо этапе цепочки поставок. Согласно лучшей практике, общая концепция создания такой структуры выглядит следующим образом:</w:t>
      </w:r>
    </w:p>
    <w:p w14:paraId="0E698B47" w14:textId="77777777" w:rsidR="00DC320F" w:rsidRPr="00044560" w:rsidRDefault="00A607E8" w:rsidP="009E68A5">
      <w:pPr>
        <w:pStyle w:val="a5"/>
        <w:widowControl/>
        <w:numPr>
          <w:ilvl w:val="0"/>
          <w:numId w:val="5"/>
        </w:numPr>
        <w:tabs>
          <w:tab w:val="left" w:pos="426"/>
          <w:tab w:val="left" w:pos="848"/>
        </w:tabs>
        <w:spacing w:after="120"/>
        <w:ind w:left="0" w:firstLine="0"/>
        <w:rPr>
          <w:sz w:val="24"/>
          <w:szCs w:val="24"/>
        </w:rPr>
      </w:pPr>
      <w:r w:rsidRPr="00044560">
        <w:rPr>
          <w:sz w:val="24"/>
          <w:szCs w:val="24"/>
          <w:lang w:bidi="ru-RU"/>
        </w:rPr>
        <w:lastRenderedPageBreak/>
        <w:t>Уполномочить Высшее руководство, обладающее необходимой компетенцией, знаниями и опытом, на осуществление надзора за процессом проведения комплексной экспертизы цепочки поставок и возложить на него соответствующие обязанности;</w:t>
      </w:r>
    </w:p>
    <w:p w14:paraId="0210EC27" w14:textId="77777777" w:rsidR="00DC320F" w:rsidRPr="00044560" w:rsidRDefault="00A607E8" w:rsidP="009E68A5">
      <w:pPr>
        <w:pStyle w:val="a5"/>
        <w:widowControl/>
        <w:numPr>
          <w:ilvl w:val="0"/>
          <w:numId w:val="5"/>
        </w:numPr>
        <w:tabs>
          <w:tab w:val="left" w:pos="426"/>
          <w:tab w:val="left" w:pos="848"/>
        </w:tabs>
        <w:spacing w:after="120"/>
        <w:ind w:left="0" w:firstLine="0"/>
        <w:rPr>
          <w:sz w:val="24"/>
          <w:szCs w:val="24"/>
        </w:rPr>
      </w:pPr>
      <w:r w:rsidRPr="00044560">
        <w:rPr>
          <w:sz w:val="24"/>
          <w:szCs w:val="24"/>
          <w:lang w:bidi="ru-RU"/>
        </w:rPr>
        <w:t>Обеспечить наличие ресурсов, необходимых для поддержки функционирования и мониторинга этих процессов;</w:t>
      </w:r>
    </w:p>
    <w:p w14:paraId="5E4040F9" w14:textId="77777777" w:rsidR="00DC320F" w:rsidRPr="00044560" w:rsidRDefault="00A607E8" w:rsidP="009E68A5">
      <w:pPr>
        <w:pStyle w:val="a5"/>
        <w:widowControl/>
        <w:numPr>
          <w:ilvl w:val="0"/>
          <w:numId w:val="5"/>
        </w:numPr>
        <w:tabs>
          <w:tab w:val="left" w:pos="426"/>
          <w:tab w:val="left" w:pos="848"/>
        </w:tabs>
        <w:spacing w:after="120"/>
        <w:ind w:left="0" w:firstLine="0"/>
        <w:jc w:val="both"/>
        <w:rPr>
          <w:sz w:val="24"/>
          <w:szCs w:val="24"/>
        </w:rPr>
      </w:pPr>
      <w:r w:rsidRPr="00044560">
        <w:rPr>
          <w:sz w:val="24"/>
          <w:szCs w:val="24"/>
          <w:lang w:bidi="ru-RU"/>
        </w:rPr>
        <w:t>Создать организационную структуру и процессы обмена информацией, которые обеспечат доступность важной информации, включая политики компании, для соответствующих сотрудников и контрагентов, поставляющих платину/палладий;</w:t>
      </w:r>
    </w:p>
    <w:p w14:paraId="62098220" w14:textId="77777777" w:rsidR="00DC320F" w:rsidRPr="00044560" w:rsidRDefault="00A607E8" w:rsidP="009E68A5">
      <w:pPr>
        <w:pStyle w:val="a5"/>
        <w:widowControl/>
        <w:numPr>
          <w:ilvl w:val="0"/>
          <w:numId w:val="5"/>
        </w:numPr>
        <w:tabs>
          <w:tab w:val="left" w:pos="426"/>
          <w:tab w:val="left" w:pos="848"/>
        </w:tabs>
        <w:spacing w:after="120"/>
        <w:ind w:left="0" w:firstLine="0"/>
        <w:rPr>
          <w:sz w:val="24"/>
          <w:szCs w:val="24"/>
        </w:rPr>
      </w:pPr>
      <w:r w:rsidRPr="00044560">
        <w:rPr>
          <w:sz w:val="24"/>
          <w:szCs w:val="24"/>
          <w:lang w:bidi="ru-RU"/>
        </w:rPr>
        <w:t xml:space="preserve">Обеспечить внутреннюю подотчетность в отношении </w:t>
      </w:r>
      <w:proofErr w:type="gramStart"/>
      <w:r w:rsidRPr="00044560">
        <w:rPr>
          <w:sz w:val="24"/>
          <w:szCs w:val="24"/>
          <w:lang w:bidi="ru-RU"/>
        </w:rPr>
        <w:t>выполнения процесса комплексной экспертизы цепочки поставок</w:t>
      </w:r>
      <w:proofErr w:type="gramEnd"/>
      <w:r w:rsidRPr="00044560">
        <w:rPr>
          <w:sz w:val="24"/>
          <w:szCs w:val="24"/>
          <w:lang w:bidi="ru-RU"/>
        </w:rPr>
        <w:t>.</w:t>
      </w:r>
    </w:p>
    <w:p w14:paraId="21D1E529" w14:textId="77777777" w:rsidR="00DC320F" w:rsidRDefault="00A607E8" w:rsidP="009E68A5">
      <w:pPr>
        <w:pStyle w:val="a5"/>
        <w:widowControl/>
        <w:numPr>
          <w:ilvl w:val="0"/>
          <w:numId w:val="5"/>
        </w:numPr>
        <w:tabs>
          <w:tab w:val="left" w:pos="426"/>
          <w:tab w:val="left" w:pos="848"/>
        </w:tabs>
        <w:spacing w:after="120"/>
        <w:ind w:left="0" w:firstLine="0"/>
        <w:rPr>
          <w:sz w:val="24"/>
          <w:szCs w:val="24"/>
        </w:rPr>
      </w:pPr>
      <w:r w:rsidRPr="00044560">
        <w:rPr>
          <w:sz w:val="24"/>
          <w:szCs w:val="24"/>
          <w:lang w:bidi="ru-RU"/>
        </w:rPr>
        <w:t xml:space="preserve">Руководители высшего звена должны регулярно проверять эффективность и результативность </w:t>
      </w:r>
      <w:proofErr w:type="gramStart"/>
      <w:r w:rsidRPr="00044560">
        <w:rPr>
          <w:sz w:val="24"/>
          <w:szCs w:val="24"/>
          <w:lang w:bidi="ru-RU"/>
        </w:rPr>
        <w:t>процедур проведения комплексной экспертизы цепочки поставок</w:t>
      </w:r>
      <w:proofErr w:type="gramEnd"/>
      <w:r w:rsidRPr="00044560">
        <w:rPr>
          <w:sz w:val="24"/>
          <w:szCs w:val="24"/>
          <w:lang w:bidi="ru-RU"/>
        </w:rPr>
        <w:t xml:space="preserve"> и документировать полученные результаты таких проверок.</w:t>
      </w:r>
    </w:p>
    <w:p w14:paraId="44684F44" w14:textId="77777777" w:rsidR="00044560" w:rsidRPr="00044560" w:rsidRDefault="00044560" w:rsidP="00044560">
      <w:pPr>
        <w:pStyle w:val="a5"/>
        <w:widowControl/>
        <w:tabs>
          <w:tab w:val="left" w:pos="426"/>
          <w:tab w:val="left" w:pos="848"/>
        </w:tabs>
        <w:spacing w:after="120"/>
        <w:ind w:left="0" w:firstLine="0"/>
        <w:rPr>
          <w:sz w:val="24"/>
          <w:szCs w:val="24"/>
        </w:rPr>
      </w:pPr>
    </w:p>
    <w:p w14:paraId="6501170F" w14:textId="77777777" w:rsidR="00DC320F" w:rsidRPr="00044560" w:rsidRDefault="00A607E8" w:rsidP="009E68A5">
      <w:pPr>
        <w:pStyle w:val="2"/>
        <w:widowControl/>
        <w:numPr>
          <w:ilvl w:val="1"/>
          <w:numId w:val="7"/>
        </w:numPr>
        <w:tabs>
          <w:tab w:val="left" w:pos="426"/>
          <w:tab w:val="left" w:pos="452"/>
        </w:tabs>
        <w:spacing w:after="120"/>
        <w:ind w:left="0" w:firstLine="0"/>
        <w:jc w:val="left"/>
        <w:rPr>
          <w:sz w:val="24"/>
          <w:szCs w:val="24"/>
        </w:rPr>
      </w:pPr>
      <w:r w:rsidRPr="00044560">
        <w:rPr>
          <w:sz w:val="24"/>
          <w:szCs w:val="24"/>
          <w:lang w:bidi="ru-RU"/>
        </w:rPr>
        <w:t xml:space="preserve">Создание эффективной внутренней системы Комплексной экспертизы, средств контроля и прозрачности цепочек поставок платины/палладия, включая </w:t>
      </w:r>
      <w:proofErr w:type="spellStart"/>
      <w:r w:rsidRPr="00044560">
        <w:rPr>
          <w:sz w:val="24"/>
          <w:szCs w:val="24"/>
          <w:lang w:bidi="ru-RU"/>
        </w:rPr>
        <w:t>прослеживаемость</w:t>
      </w:r>
      <w:proofErr w:type="spellEnd"/>
      <w:r w:rsidRPr="00044560">
        <w:rPr>
          <w:sz w:val="24"/>
          <w:szCs w:val="24"/>
          <w:lang w:bidi="ru-RU"/>
        </w:rPr>
        <w:t xml:space="preserve"> и идентификацию других участников цепочки поставок</w:t>
      </w:r>
    </w:p>
    <w:p w14:paraId="774A5110" w14:textId="77777777" w:rsidR="00DC320F" w:rsidRPr="00044560" w:rsidRDefault="00A607E8" w:rsidP="009E68A5">
      <w:pPr>
        <w:pStyle w:val="3"/>
        <w:widowControl/>
        <w:tabs>
          <w:tab w:val="left" w:pos="426"/>
        </w:tabs>
        <w:spacing w:after="120"/>
        <w:ind w:left="0"/>
        <w:rPr>
          <w:sz w:val="24"/>
          <w:szCs w:val="24"/>
        </w:rPr>
      </w:pPr>
      <w:r w:rsidRPr="00044560">
        <w:rPr>
          <w:sz w:val="24"/>
          <w:szCs w:val="24"/>
          <w:lang w:bidi="ru-RU"/>
        </w:rPr>
        <w:t xml:space="preserve">Система </w:t>
      </w:r>
      <w:proofErr w:type="spellStart"/>
      <w:r w:rsidRPr="00044560">
        <w:rPr>
          <w:sz w:val="24"/>
          <w:szCs w:val="24"/>
          <w:lang w:bidi="ru-RU"/>
        </w:rPr>
        <w:t>прослеживаемости</w:t>
      </w:r>
      <w:proofErr w:type="spellEnd"/>
      <w:r w:rsidRPr="00044560">
        <w:rPr>
          <w:sz w:val="24"/>
          <w:szCs w:val="24"/>
          <w:lang w:bidi="ru-RU"/>
        </w:rPr>
        <w:t xml:space="preserve"> цепочки поставок</w:t>
      </w:r>
    </w:p>
    <w:p w14:paraId="2C832E23"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 xml:space="preserve">Аффинажные предприятия должны внедрить систему </w:t>
      </w:r>
      <w:proofErr w:type="spellStart"/>
      <w:r w:rsidRPr="00044560">
        <w:rPr>
          <w:sz w:val="24"/>
          <w:szCs w:val="24"/>
          <w:lang w:bidi="ru-RU"/>
        </w:rPr>
        <w:t>прослеживаемости</w:t>
      </w:r>
      <w:proofErr w:type="spellEnd"/>
      <w:r w:rsidRPr="00044560">
        <w:rPr>
          <w:sz w:val="24"/>
          <w:szCs w:val="24"/>
          <w:lang w:bidi="ru-RU"/>
        </w:rPr>
        <w:t xml:space="preserve"> цепочки поставок, которая обеспечит сбор и хранение информации по каждой аффинированной партии, включая присвоение уникального номера материалам на входе и выходе таким образом, чтобы нарушение упаковки или их удаление были заметны. Такая информация должна включать:</w:t>
      </w:r>
    </w:p>
    <w:p w14:paraId="3AA218A5" w14:textId="77777777" w:rsidR="00DC320F" w:rsidRPr="00044560" w:rsidRDefault="00A607E8" w:rsidP="009E68A5">
      <w:pPr>
        <w:pStyle w:val="a5"/>
        <w:widowControl/>
        <w:numPr>
          <w:ilvl w:val="2"/>
          <w:numId w:val="7"/>
        </w:numPr>
        <w:tabs>
          <w:tab w:val="left" w:pos="426"/>
          <w:tab w:val="left" w:pos="848"/>
        </w:tabs>
        <w:spacing w:after="120"/>
        <w:ind w:left="0" w:firstLine="0"/>
        <w:rPr>
          <w:sz w:val="24"/>
          <w:szCs w:val="24"/>
        </w:rPr>
      </w:pPr>
      <w:r w:rsidRPr="00044560">
        <w:rPr>
          <w:sz w:val="24"/>
          <w:szCs w:val="24"/>
          <w:lang w:bidi="ru-RU"/>
        </w:rPr>
        <w:t>Тип полученной платины/палладия (</w:t>
      </w:r>
      <w:proofErr w:type="gramStart"/>
      <w:r w:rsidRPr="00044560">
        <w:rPr>
          <w:sz w:val="24"/>
          <w:szCs w:val="24"/>
          <w:lang w:bidi="ru-RU"/>
        </w:rPr>
        <w:t>добытая</w:t>
      </w:r>
      <w:proofErr w:type="gramEnd"/>
      <w:r w:rsidRPr="00044560">
        <w:rPr>
          <w:sz w:val="24"/>
          <w:szCs w:val="24"/>
          <w:lang w:bidi="ru-RU"/>
        </w:rPr>
        <w:t xml:space="preserve"> или переработанная);</w:t>
      </w:r>
    </w:p>
    <w:p w14:paraId="7798335A" w14:textId="77777777" w:rsidR="00DC320F" w:rsidRPr="00044560" w:rsidRDefault="00A607E8" w:rsidP="009E68A5">
      <w:pPr>
        <w:pStyle w:val="a5"/>
        <w:widowControl/>
        <w:numPr>
          <w:ilvl w:val="2"/>
          <w:numId w:val="7"/>
        </w:numPr>
        <w:tabs>
          <w:tab w:val="left" w:pos="426"/>
          <w:tab w:val="left" w:pos="848"/>
        </w:tabs>
        <w:spacing w:after="120"/>
        <w:ind w:left="0" w:firstLine="0"/>
        <w:rPr>
          <w:sz w:val="24"/>
          <w:szCs w:val="24"/>
        </w:rPr>
      </w:pPr>
      <w:r w:rsidRPr="00044560">
        <w:rPr>
          <w:sz w:val="24"/>
          <w:szCs w:val="24"/>
          <w:lang w:bidi="ru-RU"/>
        </w:rPr>
        <w:t>Вес и химический анализ (заявленный и обогащенный);</w:t>
      </w:r>
    </w:p>
    <w:p w14:paraId="24F6F37E" w14:textId="77777777" w:rsidR="00DC320F" w:rsidRPr="00044560" w:rsidRDefault="00A607E8" w:rsidP="009E68A5">
      <w:pPr>
        <w:pStyle w:val="a5"/>
        <w:widowControl/>
        <w:numPr>
          <w:ilvl w:val="2"/>
          <w:numId w:val="7"/>
        </w:numPr>
        <w:tabs>
          <w:tab w:val="left" w:pos="426"/>
          <w:tab w:val="left" w:pos="848"/>
        </w:tabs>
        <w:spacing w:after="120"/>
        <w:ind w:left="0" w:firstLine="0"/>
        <w:rPr>
          <w:sz w:val="24"/>
          <w:szCs w:val="24"/>
        </w:rPr>
      </w:pPr>
      <w:r w:rsidRPr="00044560">
        <w:rPr>
          <w:sz w:val="24"/>
          <w:szCs w:val="24"/>
          <w:lang w:bidi="ru-RU"/>
        </w:rPr>
        <w:t>Ссылка на файл Комплексной экспертизы в отношении контрагента, поставляющего платину/палладий;</w:t>
      </w:r>
    </w:p>
    <w:p w14:paraId="30E7DC8D" w14:textId="77777777" w:rsidR="00DC320F" w:rsidRPr="00044560" w:rsidRDefault="00A607E8" w:rsidP="009E68A5">
      <w:pPr>
        <w:pStyle w:val="a5"/>
        <w:widowControl/>
        <w:numPr>
          <w:ilvl w:val="2"/>
          <w:numId w:val="7"/>
        </w:numPr>
        <w:tabs>
          <w:tab w:val="left" w:pos="426"/>
          <w:tab w:val="left" w:pos="848"/>
        </w:tabs>
        <w:spacing w:after="120"/>
        <w:ind w:left="0" w:firstLine="0"/>
        <w:rPr>
          <w:sz w:val="24"/>
          <w:szCs w:val="24"/>
        </w:rPr>
      </w:pPr>
      <w:r w:rsidRPr="00044560">
        <w:rPr>
          <w:sz w:val="24"/>
          <w:szCs w:val="24"/>
          <w:lang w:bidi="ru-RU"/>
        </w:rPr>
        <w:t>Дата прибытия на аффинажное предприятие и дата завершения аффинажа.</w:t>
      </w:r>
    </w:p>
    <w:p w14:paraId="365562B0" w14:textId="77777777" w:rsidR="00DC320F" w:rsidRPr="00044560" w:rsidRDefault="00A607E8" w:rsidP="009E68A5">
      <w:pPr>
        <w:pStyle w:val="3"/>
        <w:widowControl/>
        <w:tabs>
          <w:tab w:val="left" w:pos="426"/>
        </w:tabs>
        <w:spacing w:after="120"/>
        <w:ind w:left="0"/>
        <w:rPr>
          <w:sz w:val="24"/>
          <w:szCs w:val="24"/>
        </w:rPr>
      </w:pPr>
      <w:r w:rsidRPr="00044560">
        <w:rPr>
          <w:sz w:val="24"/>
          <w:szCs w:val="24"/>
          <w:lang w:bidi="ru-RU"/>
        </w:rPr>
        <w:t>Ведение записей</w:t>
      </w:r>
    </w:p>
    <w:p w14:paraId="19C03C6D"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вести соответствующий учет документации по цепочке поставок, как это требуется в Шаге 2, разделе 2 (оценка рисков с учетом стандартов собственной системы Комплексной экспертизы цепочки поставок), чтобы продемонстрировать, что Комплексная экспертиза проводится надлежащим образом на постоянной основе. Эти записи должны храниться не меньше пяти лет после окончания финансового года аффинажного предприятия.</w:t>
      </w:r>
    </w:p>
    <w:p w14:paraId="2EFE8B1D" w14:textId="77777777" w:rsidR="00DC320F" w:rsidRPr="00044560" w:rsidRDefault="00A607E8" w:rsidP="00044560">
      <w:pPr>
        <w:pStyle w:val="3"/>
        <w:keepNext/>
        <w:widowControl/>
        <w:tabs>
          <w:tab w:val="left" w:pos="426"/>
        </w:tabs>
        <w:spacing w:after="120"/>
        <w:ind w:left="0"/>
        <w:jc w:val="left"/>
        <w:rPr>
          <w:sz w:val="24"/>
          <w:szCs w:val="24"/>
        </w:rPr>
      </w:pPr>
      <w:r w:rsidRPr="00044560">
        <w:rPr>
          <w:sz w:val="24"/>
          <w:szCs w:val="24"/>
          <w:lang w:bidi="ru-RU"/>
        </w:rPr>
        <w:lastRenderedPageBreak/>
        <w:t>Обучение</w:t>
      </w:r>
    </w:p>
    <w:p w14:paraId="0568BFBD"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Аффинажным предприятиям следует разработать программу постоянного обучения по цепочке поставок платины/палладия для всего персонала, задействованного в цепочке поставок платины/палладия.</w:t>
      </w:r>
    </w:p>
    <w:p w14:paraId="27E71551" w14:textId="77777777" w:rsidR="00DC320F" w:rsidRPr="00044560" w:rsidRDefault="00A607E8" w:rsidP="009E68A5">
      <w:pPr>
        <w:pStyle w:val="3"/>
        <w:widowControl/>
        <w:tabs>
          <w:tab w:val="left" w:pos="426"/>
        </w:tabs>
        <w:spacing w:after="120"/>
        <w:ind w:left="0"/>
        <w:jc w:val="left"/>
        <w:rPr>
          <w:sz w:val="24"/>
          <w:szCs w:val="24"/>
        </w:rPr>
      </w:pPr>
      <w:r w:rsidRPr="00044560">
        <w:rPr>
          <w:sz w:val="24"/>
          <w:szCs w:val="24"/>
          <w:lang w:bidi="ru-RU"/>
        </w:rPr>
        <w:t>Специалист по обеспечению нормативно-правового соответствия</w:t>
      </w:r>
    </w:p>
    <w:p w14:paraId="3EE95392"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назначить Специалиста по обеспечению нормативно-правового соответствия, который будет подотчетен Высшему руководству.</w:t>
      </w:r>
    </w:p>
    <w:p w14:paraId="321DCF35"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 xml:space="preserve">Специалист по обеспечению нормативно-правового соответствия отвечает за все вопросы, касающиеся цепочки поставок платины/палладия. В частности, он просматривает результаты </w:t>
      </w:r>
      <w:proofErr w:type="gramStart"/>
      <w:r w:rsidRPr="00044560">
        <w:rPr>
          <w:sz w:val="24"/>
          <w:szCs w:val="24"/>
          <w:lang w:bidi="ru-RU"/>
        </w:rPr>
        <w:t>проведения Комплексной экспертизы цепочки поставок платины/палладия</w:t>
      </w:r>
      <w:proofErr w:type="gramEnd"/>
      <w:r w:rsidRPr="00044560">
        <w:rPr>
          <w:sz w:val="24"/>
          <w:szCs w:val="24"/>
          <w:lang w:bidi="ru-RU"/>
        </w:rPr>
        <w:t xml:space="preserve"> и оценивает ее адекватность и при необходимости запрашивает дополнительную документацию или информацию. Он обеспечивает принятие соответствующих мер в случае цепочек поставок или сделок с высоким риском. Он также отвечает за обучение сотрудников в отношении ответственной цепочки поставок, за подготовку и обновление политики цепочки поставок платины/палладия, а также за предоставление надлежащей информации Высшему руководству для выполнения ими своих обязанностей.</w:t>
      </w:r>
    </w:p>
    <w:p w14:paraId="4FEA1F35" w14:textId="77777777" w:rsidR="00DC320F" w:rsidRPr="00044560" w:rsidRDefault="00A607E8" w:rsidP="009E68A5">
      <w:pPr>
        <w:pStyle w:val="3"/>
        <w:widowControl/>
        <w:tabs>
          <w:tab w:val="left" w:pos="426"/>
        </w:tabs>
        <w:spacing w:after="120"/>
        <w:ind w:left="0"/>
        <w:jc w:val="left"/>
        <w:rPr>
          <w:sz w:val="24"/>
          <w:szCs w:val="24"/>
        </w:rPr>
      </w:pPr>
      <w:r w:rsidRPr="00044560">
        <w:rPr>
          <w:sz w:val="24"/>
          <w:szCs w:val="24"/>
          <w:lang w:bidi="ru-RU"/>
        </w:rPr>
        <w:t>Оплата через официальный банковский канал</w:t>
      </w:r>
    </w:p>
    <w:p w14:paraId="3FBD88AB"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Все денежные сделки, стороной которой является Аффинажное предприятие, должны быть четко обоснованы, подтверждены проверяемой информацией и одобрены Высшим руководством. Аффинажные компании должны демонстрировать постоянную приверженность процессу перехода от использования наличных платежей поставщикам к платежам за платину/палладий, осуществляемым через официальные банковские каналы, или к зачислению металла через Аффинажные предприятия, продукция которых имеет статус «надежная поставка», утвержденные Лондонским рынком платины и палладия.</w:t>
      </w:r>
    </w:p>
    <w:p w14:paraId="1E903518" w14:textId="77777777" w:rsidR="00DC320F" w:rsidRPr="00044560" w:rsidRDefault="00A607E8" w:rsidP="009E68A5">
      <w:pPr>
        <w:pStyle w:val="3"/>
        <w:keepNext/>
        <w:widowControl/>
        <w:tabs>
          <w:tab w:val="left" w:pos="426"/>
        </w:tabs>
        <w:spacing w:after="120"/>
        <w:ind w:left="0"/>
        <w:jc w:val="left"/>
        <w:rPr>
          <w:sz w:val="24"/>
          <w:szCs w:val="24"/>
        </w:rPr>
      </w:pPr>
      <w:r w:rsidRPr="00044560">
        <w:rPr>
          <w:sz w:val="24"/>
          <w:szCs w:val="24"/>
          <w:lang w:bidi="ru-RU"/>
        </w:rPr>
        <w:t>Сотрудничество с государственными органами</w:t>
      </w:r>
    </w:p>
    <w:p w14:paraId="5F8DE736" w14:textId="77777777" w:rsidR="00DC320F"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всецело и открыто сотрудничать с государственными органами и предоставлять им полный доступ к записям и информации в случае такой необходимости.</w:t>
      </w:r>
    </w:p>
    <w:p w14:paraId="456491A0" w14:textId="77777777" w:rsidR="001C2926" w:rsidRDefault="001C2926" w:rsidP="000D133D">
      <w:pPr>
        <w:pStyle w:val="a3"/>
        <w:widowControl/>
        <w:tabs>
          <w:tab w:val="left" w:pos="426"/>
        </w:tabs>
        <w:spacing w:before="100" w:beforeAutospacing="1" w:after="100" w:afterAutospacing="1" w:line="320" w:lineRule="exact"/>
        <w:jc w:val="both"/>
        <w:rPr>
          <w:sz w:val="24"/>
          <w:szCs w:val="24"/>
          <w:lang w:bidi="ru-RU"/>
        </w:rPr>
      </w:pPr>
    </w:p>
    <w:p w14:paraId="431ED084" w14:textId="77777777" w:rsidR="00DC320F" w:rsidRPr="00044560" w:rsidRDefault="00A607E8" w:rsidP="001C2926">
      <w:pPr>
        <w:pStyle w:val="2"/>
        <w:keepNext/>
        <w:widowControl/>
        <w:numPr>
          <w:ilvl w:val="1"/>
          <w:numId w:val="7"/>
        </w:numPr>
        <w:tabs>
          <w:tab w:val="left" w:pos="426"/>
          <w:tab w:val="left" w:pos="452"/>
        </w:tabs>
        <w:spacing w:after="120"/>
        <w:ind w:left="0" w:firstLine="0"/>
        <w:jc w:val="left"/>
        <w:rPr>
          <w:sz w:val="24"/>
          <w:szCs w:val="24"/>
        </w:rPr>
      </w:pPr>
      <w:bookmarkStart w:id="0" w:name="_GoBack"/>
      <w:r w:rsidRPr="00044560">
        <w:rPr>
          <w:sz w:val="24"/>
          <w:szCs w:val="24"/>
          <w:lang w:bidi="ru-RU"/>
        </w:rPr>
        <w:lastRenderedPageBreak/>
        <w:t>Большее участие компании в деятельности Контрагентов, поставляющих платину/палладий, и, по возможности, оказание им содействия в наращивании потенциала для проведения Комплексной экспертизы</w:t>
      </w:r>
    </w:p>
    <w:bookmarkEnd w:id="0"/>
    <w:p w14:paraId="6EA7A1B2"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Аффинажным предприятиям рекомендуется строить долгосрочные отношения со своими поставщиками, основанные на доверии и взаимном признании.</w:t>
      </w:r>
    </w:p>
    <w:p w14:paraId="1AB76825"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proofErr w:type="gramStart"/>
      <w:r w:rsidRPr="00044560">
        <w:rPr>
          <w:sz w:val="24"/>
          <w:szCs w:val="24"/>
          <w:lang w:bidi="ru-RU"/>
        </w:rPr>
        <w:t>Аффинажные предприятия должны убедить Контрагентов, поставляющих платину/палладий, взять на себя обязательство по соблюдению политики в отношении цепочки поставок, которая соответствует Типовой политике, приведенной в Приложении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и письменно подтвердить такое соблюдение, по каждому взаимодействию с Аффинажными</w:t>
      </w:r>
      <w:proofErr w:type="gramEnd"/>
      <w:r w:rsidRPr="00044560">
        <w:rPr>
          <w:sz w:val="24"/>
          <w:szCs w:val="24"/>
          <w:lang w:bidi="ru-RU"/>
        </w:rPr>
        <w:t xml:space="preserve"> предприятиями.</w:t>
      </w:r>
    </w:p>
    <w:p w14:paraId="21BE80AC" w14:textId="77777777" w:rsidR="00DC320F"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При необходимости, Аффинажные предприятия должны определить процесс для продвижения практики ответственного выбора поставщиков по всей цепочке поставок, а также оказать поддержку существующим или потенциальным контрагентам, поставляющим платину/палладий, при совершенствовании ими своих методов организации ответственной цепочки поставок. Например, Аффинажные предприятия могут сообщать о своих ожиданиях, предоставлять рекомендации или делиться собственными методами и приемами при посещении объектов контрагентов, чтобы помочь последним усовершенствовать свои практики.</w:t>
      </w:r>
    </w:p>
    <w:p w14:paraId="0671D7F7" w14:textId="77777777" w:rsidR="00044560" w:rsidRPr="00044560" w:rsidRDefault="00044560" w:rsidP="000D133D">
      <w:pPr>
        <w:pStyle w:val="a3"/>
        <w:widowControl/>
        <w:tabs>
          <w:tab w:val="left" w:pos="426"/>
        </w:tabs>
        <w:spacing w:before="100" w:beforeAutospacing="1" w:after="100" w:afterAutospacing="1" w:line="320" w:lineRule="exact"/>
        <w:jc w:val="both"/>
        <w:rPr>
          <w:sz w:val="24"/>
          <w:szCs w:val="24"/>
          <w:lang w:bidi="ru-RU"/>
        </w:rPr>
      </w:pPr>
    </w:p>
    <w:p w14:paraId="03470C65" w14:textId="36BC373F" w:rsidR="00DC320F" w:rsidRPr="00044560" w:rsidRDefault="00A607E8" w:rsidP="009E68A5">
      <w:pPr>
        <w:pStyle w:val="2"/>
        <w:widowControl/>
        <w:numPr>
          <w:ilvl w:val="1"/>
          <w:numId w:val="7"/>
        </w:numPr>
        <w:tabs>
          <w:tab w:val="left" w:pos="426"/>
          <w:tab w:val="left" w:pos="452"/>
        </w:tabs>
        <w:spacing w:after="120"/>
        <w:ind w:left="0" w:firstLine="0"/>
        <w:jc w:val="left"/>
        <w:rPr>
          <w:sz w:val="24"/>
          <w:szCs w:val="24"/>
        </w:rPr>
      </w:pPr>
      <w:r w:rsidRPr="00044560">
        <w:rPr>
          <w:sz w:val="24"/>
          <w:szCs w:val="24"/>
          <w:lang w:bidi="ru-RU"/>
        </w:rPr>
        <w:t xml:space="preserve">Создание механизма коммуникации в масштабах всей компании для содействия широкому участию сотрудников и выявлению рисков для руководства </w:t>
      </w:r>
    </w:p>
    <w:p w14:paraId="0EFA7FEC" w14:textId="16110EE2"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 xml:space="preserve">Аффинажным предприятиям следует разработать механизм, позволяющий любому сотруднику или заинтересованному лицу вне организации анонимно высказывать опасения по поводу </w:t>
      </w:r>
      <w:proofErr w:type="gramStart"/>
      <w:r w:rsidR="006B6113" w:rsidRPr="00044560">
        <w:rPr>
          <w:sz w:val="24"/>
          <w:szCs w:val="24"/>
          <w:lang w:bidi="ru-RU"/>
        </w:rPr>
        <w:t xml:space="preserve">функционирования </w:t>
      </w:r>
      <w:r w:rsidRPr="00044560">
        <w:rPr>
          <w:sz w:val="24"/>
          <w:szCs w:val="24"/>
          <w:lang w:bidi="ru-RU"/>
        </w:rPr>
        <w:t>цепочки поставок платины/палладия</w:t>
      </w:r>
      <w:proofErr w:type="gramEnd"/>
      <w:r w:rsidRPr="00044560">
        <w:rPr>
          <w:sz w:val="24"/>
          <w:szCs w:val="24"/>
          <w:lang w:bidi="ru-RU"/>
        </w:rPr>
        <w:t xml:space="preserve"> или </w:t>
      </w:r>
      <w:r w:rsidR="006B6113" w:rsidRPr="00044560">
        <w:rPr>
          <w:sz w:val="24"/>
          <w:szCs w:val="24"/>
          <w:lang w:bidi="ru-RU"/>
        </w:rPr>
        <w:t xml:space="preserve">возникновения </w:t>
      </w:r>
      <w:r w:rsidRPr="00044560">
        <w:rPr>
          <w:sz w:val="24"/>
          <w:szCs w:val="24"/>
          <w:lang w:bidi="ru-RU"/>
        </w:rPr>
        <w:t>новых рисков.</w:t>
      </w:r>
    </w:p>
    <w:p w14:paraId="3B0A3662" w14:textId="77777777" w:rsidR="00DC320F" w:rsidRPr="000D133D" w:rsidRDefault="00DC320F" w:rsidP="000D133D">
      <w:pPr>
        <w:pStyle w:val="a3"/>
        <w:widowControl/>
        <w:tabs>
          <w:tab w:val="left" w:pos="426"/>
        </w:tabs>
        <w:spacing w:before="100" w:beforeAutospacing="1" w:after="100" w:afterAutospacing="1" w:line="320" w:lineRule="exact"/>
        <w:jc w:val="both"/>
        <w:rPr>
          <w:sz w:val="24"/>
          <w:lang w:bidi="ru-RU"/>
        </w:rPr>
        <w:sectPr w:rsidR="00DC320F" w:rsidRPr="000D133D" w:rsidSect="00044560">
          <w:headerReference w:type="default" r:id="rId8"/>
          <w:pgSz w:w="11900" w:h="16840" w:code="9"/>
          <w:pgMar w:top="1134" w:right="1134" w:bottom="1134" w:left="1134" w:header="992" w:footer="0" w:gutter="0"/>
          <w:cols w:space="720"/>
        </w:sectPr>
      </w:pPr>
    </w:p>
    <w:p w14:paraId="60A30E7C" w14:textId="6DA03863"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lastRenderedPageBreak/>
        <w:t xml:space="preserve">ШАГ 2 </w:t>
      </w:r>
      <w:r w:rsidR="006B6113" w:rsidRPr="00FD642B">
        <w:rPr>
          <w:rFonts w:eastAsia="Franklin Gothic Book"/>
          <w:bCs w:val="0"/>
          <w:sz w:val="32"/>
          <w:szCs w:val="32"/>
        </w:rPr>
        <w:t xml:space="preserve">– </w:t>
      </w:r>
      <w:r w:rsidRPr="00FD642B">
        <w:rPr>
          <w:rFonts w:eastAsia="Franklin Gothic Book"/>
          <w:bCs w:val="0"/>
          <w:sz w:val="32"/>
          <w:szCs w:val="32"/>
        </w:rPr>
        <w:t>Выявление и оценка риска в цепочке поставок</w:t>
      </w:r>
    </w:p>
    <w:p w14:paraId="6A6F8748" w14:textId="77777777" w:rsidR="00DC320F" w:rsidRPr="00044560" w:rsidRDefault="00A607E8" w:rsidP="009E68A5">
      <w:pPr>
        <w:pStyle w:val="2"/>
        <w:widowControl/>
        <w:numPr>
          <w:ilvl w:val="0"/>
          <w:numId w:val="4"/>
        </w:numPr>
        <w:tabs>
          <w:tab w:val="left" w:pos="426"/>
          <w:tab w:val="left" w:pos="452"/>
        </w:tabs>
        <w:spacing w:after="120"/>
        <w:ind w:left="0" w:firstLine="0"/>
        <w:rPr>
          <w:sz w:val="24"/>
          <w:szCs w:val="24"/>
        </w:rPr>
      </w:pPr>
      <w:r w:rsidRPr="00044560">
        <w:rPr>
          <w:sz w:val="24"/>
          <w:szCs w:val="24"/>
          <w:lang w:bidi="ru-RU"/>
        </w:rPr>
        <w:t>Выявление рисков в цепочке поставок платины/палладия</w:t>
      </w:r>
    </w:p>
    <w:p w14:paraId="19A9B69C"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proofErr w:type="gramStart"/>
      <w:r w:rsidRPr="00044560">
        <w:rPr>
          <w:sz w:val="24"/>
          <w:szCs w:val="24"/>
          <w:lang w:bidi="ru-RU"/>
        </w:rPr>
        <w:t>В соответствии с Приложением II к Руководящим принципам ОЭСР по проведению комплексной экспертизы ответственных цепочек поставок минерального сырья из зон, пострадавших в результате конфликтов, и зон высокого риска, Аффинажные предприятия должны установить наличие следующих рисков (как для Добытой, так и для Переработанной платины/палладия), связанных с цепочкой поставок от места происхождения до Аффинажного предприятия:</w:t>
      </w:r>
      <w:proofErr w:type="gramEnd"/>
    </w:p>
    <w:p w14:paraId="4E430C2A" w14:textId="77777777" w:rsidR="00DC320F" w:rsidRPr="00044560" w:rsidRDefault="00A607E8" w:rsidP="009E68A5">
      <w:pPr>
        <w:pStyle w:val="a5"/>
        <w:widowControl/>
        <w:numPr>
          <w:ilvl w:val="1"/>
          <w:numId w:val="4"/>
        </w:numPr>
        <w:tabs>
          <w:tab w:val="left" w:pos="426"/>
          <w:tab w:val="left" w:pos="848"/>
        </w:tabs>
        <w:spacing w:after="120"/>
        <w:ind w:left="0" w:firstLine="0"/>
        <w:jc w:val="both"/>
        <w:rPr>
          <w:sz w:val="24"/>
          <w:szCs w:val="24"/>
        </w:rPr>
      </w:pPr>
      <w:r w:rsidRPr="00044560">
        <w:rPr>
          <w:sz w:val="24"/>
          <w:szCs w:val="24"/>
          <w:lang w:bidi="ru-RU"/>
        </w:rPr>
        <w:t>Систематические или широко распространенные нарушения прав человека, связанные с добычей, транспортировкой или торговлей платиной/палладием, включая наихудшие формы детского труда, какие-либо формы пыток, бесчеловечное и унижающее достоинство обращение, широко распространенное сексуальное насилие или другие грубые нарушения прав человека, принудительный или обязательный труд, военные преступления, преступления против человечества или геноцид;</w:t>
      </w:r>
    </w:p>
    <w:p w14:paraId="7D36775A" w14:textId="3D0D421B" w:rsidR="00DC320F" w:rsidRPr="00044560" w:rsidRDefault="00A607E8" w:rsidP="009E68A5">
      <w:pPr>
        <w:pStyle w:val="a5"/>
        <w:widowControl/>
        <w:numPr>
          <w:ilvl w:val="1"/>
          <w:numId w:val="4"/>
        </w:numPr>
        <w:tabs>
          <w:tab w:val="left" w:pos="426"/>
          <w:tab w:val="left" w:pos="848"/>
        </w:tabs>
        <w:spacing w:after="120"/>
        <w:ind w:left="0" w:firstLine="0"/>
        <w:jc w:val="both"/>
        <w:rPr>
          <w:sz w:val="24"/>
          <w:szCs w:val="24"/>
        </w:rPr>
      </w:pPr>
      <w:r w:rsidRPr="00044560">
        <w:rPr>
          <w:sz w:val="24"/>
          <w:szCs w:val="24"/>
          <w:lang w:bidi="ru-RU"/>
        </w:rPr>
        <w:t>Непосредственная или косвенная поддержка незаконных негосударственных вооруженных формирований государственных или частных силовых служб, которые незаконно контролируют участки добычи, торговцев, других посредников, транспортные маршруты через цепочки поставок или незаконно облагают налогом или вымогают деньги или полезные ископаемые через цепочки поставок («незаконные негосударственные вооруженные формирования, государственные или частные силовые службы»)</w:t>
      </w:r>
      <w:r w:rsidR="00D87A10" w:rsidRPr="00044560">
        <w:rPr>
          <w:rStyle w:val="ac"/>
          <w:sz w:val="24"/>
          <w:szCs w:val="24"/>
          <w:lang w:bidi="ru-RU"/>
        </w:rPr>
        <w:footnoteReference w:id="2"/>
      </w:r>
      <w:r w:rsidRPr="00044560">
        <w:rPr>
          <w:sz w:val="24"/>
          <w:szCs w:val="24"/>
          <w:lang w:bidi="ru-RU"/>
        </w:rPr>
        <w:t>;</w:t>
      </w:r>
    </w:p>
    <w:p w14:paraId="2D8DBE91" w14:textId="77777777" w:rsidR="00DC320F" w:rsidRPr="00044560" w:rsidRDefault="00A607E8" w:rsidP="009E68A5">
      <w:pPr>
        <w:pStyle w:val="a5"/>
        <w:widowControl/>
        <w:numPr>
          <w:ilvl w:val="1"/>
          <w:numId w:val="4"/>
        </w:numPr>
        <w:tabs>
          <w:tab w:val="left" w:pos="426"/>
          <w:tab w:val="left" w:pos="848"/>
        </w:tabs>
        <w:spacing w:after="120"/>
        <w:ind w:left="0" w:firstLine="0"/>
        <w:rPr>
          <w:sz w:val="24"/>
          <w:szCs w:val="24"/>
        </w:rPr>
      </w:pPr>
      <w:r w:rsidRPr="00044560">
        <w:rPr>
          <w:sz w:val="24"/>
          <w:szCs w:val="24"/>
          <w:lang w:bidi="ru-RU"/>
        </w:rPr>
        <w:t>Взяточничество и намеренное введение в заблуждение относительно происхождения платины/палладия;</w:t>
      </w:r>
    </w:p>
    <w:p w14:paraId="31D498B8" w14:textId="77777777" w:rsidR="00DC320F" w:rsidRPr="00044560" w:rsidRDefault="00A607E8" w:rsidP="009E68A5">
      <w:pPr>
        <w:pStyle w:val="a5"/>
        <w:widowControl/>
        <w:numPr>
          <w:ilvl w:val="1"/>
          <w:numId w:val="4"/>
        </w:numPr>
        <w:tabs>
          <w:tab w:val="left" w:pos="426"/>
          <w:tab w:val="left" w:pos="848"/>
        </w:tabs>
        <w:spacing w:after="120"/>
        <w:ind w:left="0" w:firstLine="0"/>
        <w:rPr>
          <w:sz w:val="24"/>
          <w:szCs w:val="24"/>
        </w:rPr>
      </w:pPr>
      <w:r w:rsidRPr="00044560">
        <w:rPr>
          <w:sz w:val="24"/>
          <w:szCs w:val="24"/>
          <w:lang w:bidi="ru-RU"/>
        </w:rPr>
        <w:t>Неуплата налогов, сборов и роялти, причитающихся правительствам в связи с добычей, торговлей и экспортом полезных ископаемых из зон, пострадавших в результате конфликтов, и зон высокого риска;</w:t>
      </w:r>
    </w:p>
    <w:p w14:paraId="43F38EBB" w14:textId="77777777" w:rsidR="00DC320F" w:rsidRPr="00044560" w:rsidRDefault="00A607E8" w:rsidP="009E68A5">
      <w:pPr>
        <w:pStyle w:val="a5"/>
        <w:widowControl/>
        <w:numPr>
          <w:ilvl w:val="1"/>
          <w:numId w:val="4"/>
        </w:numPr>
        <w:tabs>
          <w:tab w:val="left" w:pos="426"/>
          <w:tab w:val="left" w:pos="848"/>
        </w:tabs>
        <w:spacing w:after="120"/>
        <w:ind w:left="0" w:firstLine="0"/>
        <w:rPr>
          <w:sz w:val="24"/>
          <w:szCs w:val="24"/>
        </w:rPr>
      </w:pPr>
      <w:r w:rsidRPr="00044560">
        <w:rPr>
          <w:sz w:val="24"/>
          <w:szCs w:val="24"/>
          <w:lang w:bidi="ru-RU"/>
        </w:rPr>
        <w:t>Отмывание денег или финансирование терроризма;</w:t>
      </w:r>
    </w:p>
    <w:p w14:paraId="71B76523" w14:textId="77777777" w:rsidR="00DC320F" w:rsidRDefault="00A607E8" w:rsidP="009E68A5">
      <w:pPr>
        <w:pStyle w:val="a5"/>
        <w:widowControl/>
        <w:numPr>
          <w:ilvl w:val="1"/>
          <w:numId w:val="4"/>
        </w:numPr>
        <w:tabs>
          <w:tab w:val="left" w:pos="426"/>
          <w:tab w:val="left" w:pos="848"/>
        </w:tabs>
        <w:spacing w:after="120"/>
        <w:ind w:left="0" w:firstLine="0"/>
        <w:rPr>
          <w:sz w:val="24"/>
          <w:szCs w:val="24"/>
        </w:rPr>
      </w:pPr>
      <w:r w:rsidRPr="00044560">
        <w:rPr>
          <w:sz w:val="24"/>
          <w:szCs w:val="24"/>
          <w:lang w:bidi="ru-RU"/>
        </w:rPr>
        <w:t>Разжигание конфликтов.</w:t>
      </w:r>
    </w:p>
    <w:p w14:paraId="5876DD98" w14:textId="77777777" w:rsidR="00044560" w:rsidRPr="00044560" w:rsidRDefault="00044560" w:rsidP="00044560">
      <w:pPr>
        <w:pStyle w:val="a5"/>
        <w:widowControl/>
        <w:tabs>
          <w:tab w:val="left" w:pos="426"/>
          <w:tab w:val="left" w:pos="848"/>
        </w:tabs>
        <w:spacing w:after="120"/>
        <w:ind w:left="0" w:firstLine="0"/>
        <w:rPr>
          <w:sz w:val="24"/>
          <w:szCs w:val="24"/>
        </w:rPr>
      </w:pPr>
    </w:p>
    <w:p w14:paraId="2C7D5F9C" w14:textId="77777777" w:rsidR="00DC320F" w:rsidRPr="00044560" w:rsidRDefault="00A607E8" w:rsidP="009E68A5">
      <w:pPr>
        <w:pStyle w:val="2"/>
        <w:widowControl/>
        <w:numPr>
          <w:ilvl w:val="0"/>
          <w:numId w:val="4"/>
        </w:numPr>
        <w:tabs>
          <w:tab w:val="left" w:pos="426"/>
          <w:tab w:val="left" w:pos="452"/>
        </w:tabs>
        <w:spacing w:after="120"/>
        <w:ind w:left="0" w:firstLine="0"/>
        <w:rPr>
          <w:sz w:val="24"/>
          <w:szCs w:val="24"/>
        </w:rPr>
      </w:pPr>
      <w:r w:rsidRPr="00044560">
        <w:rPr>
          <w:sz w:val="24"/>
          <w:szCs w:val="24"/>
          <w:lang w:bidi="ru-RU"/>
        </w:rPr>
        <w:t xml:space="preserve">Оценка рисков с учетом </w:t>
      </w:r>
      <w:proofErr w:type="gramStart"/>
      <w:r w:rsidRPr="00044560">
        <w:rPr>
          <w:sz w:val="24"/>
          <w:szCs w:val="24"/>
          <w:lang w:bidi="ru-RU"/>
        </w:rPr>
        <w:t>стандартов собственной системы Комплексной экспертизы цепочки поставок</w:t>
      </w:r>
      <w:proofErr w:type="gramEnd"/>
    </w:p>
    <w:p w14:paraId="33C35B6E" w14:textId="77777777" w:rsidR="00DC320F" w:rsidRPr="00044560" w:rsidRDefault="00A607E8" w:rsidP="009E68A5">
      <w:pPr>
        <w:pStyle w:val="3"/>
        <w:widowControl/>
        <w:tabs>
          <w:tab w:val="left" w:pos="426"/>
        </w:tabs>
        <w:spacing w:after="120"/>
        <w:ind w:left="0"/>
        <w:rPr>
          <w:sz w:val="24"/>
          <w:szCs w:val="24"/>
        </w:rPr>
      </w:pPr>
      <w:r w:rsidRPr="00044560">
        <w:rPr>
          <w:sz w:val="24"/>
          <w:szCs w:val="24"/>
          <w:lang w:bidi="ru-RU"/>
        </w:rPr>
        <w:t>Комплексная экспертиза цепочки поставок</w:t>
      </w:r>
    </w:p>
    <w:p w14:paraId="124DC64C"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Чтобы составить карту цепочки поставок и эффективно оценить риски, все Аффинажные предприятия должны проводить Комплексную экспертизу цепочки поставок с учетом рисков, причем перед вступлением в деловые отношения со всеми Контрагентами, поставляющими платину/палладий. Оценка рисков в цепочке поставок начинается с происхождения платины/палладия (включая Переработанную платину/палладий). Это означает, что комплексная экспертиза должна проводиться по всей цепочке поставок, не ограничиваясь, при необходимости, прямым поставщиком.</w:t>
      </w:r>
    </w:p>
    <w:p w14:paraId="09119ED5"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lastRenderedPageBreak/>
        <w:t>Комплексная экспертиза цепочки поставок должна включать следующие действия в качестве обязательного минимума:</w:t>
      </w:r>
    </w:p>
    <w:p w14:paraId="1EB65BB0" w14:textId="77777777" w:rsidR="00DC320F" w:rsidRPr="00044560" w:rsidRDefault="00A607E8" w:rsidP="009E68A5">
      <w:pPr>
        <w:pStyle w:val="a5"/>
        <w:widowControl/>
        <w:numPr>
          <w:ilvl w:val="1"/>
          <w:numId w:val="4"/>
        </w:numPr>
        <w:tabs>
          <w:tab w:val="left" w:pos="426"/>
          <w:tab w:val="left" w:pos="811"/>
          <w:tab w:val="left" w:pos="812"/>
        </w:tabs>
        <w:spacing w:after="120"/>
        <w:ind w:left="0" w:firstLine="0"/>
        <w:rPr>
          <w:sz w:val="24"/>
          <w:szCs w:val="24"/>
        </w:rPr>
      </w:pPr>
      <w:r w:rsidRPr="00044560">
        <w:rPr>
          <w:sz w:val="24"/>
          <w:szCs w:val="24"/>
          <w:lang w:bidi="ru-RU"/>
        </w:rPr>
        <w:t>Идентификация Контрагента, поставляющего платину/палладий, и проверка его личности с помощью надежных, независимых оригиналов документов, данных или информации;</w:t>
      </w:r>
    </w:p>
    <w:p w14:paraId="54E82689" w14:textId="77777777" w:rsidR="00DC320F" w:rsidRPr="00044560" w:rsidRDefault="00A607E8" w:rsidP="009E68A5">
      <w:pPr>
        <w:pStyle w:val="a5"/>
        <w:widowControl/>
        <w:numPr>
          <w:ilvl w:val="1"/>
          <w:numId w:val="4"/>
        </w:numPr>
        <w:tabs>
          <w:tab w:val="left" w:pos="426"/>
          <w:tab w:val="left" w:pos="811"/>
          <w:tab w:val="left" w:pos="812"/>
        </w:tabs>
        <w:spacing w:after="120"/>
        <w:ind w:left="0" w:firstLine="0"/>
        <w:rPr>
          <w:sz w:val="24"/>
          <w:szCs w:val="24"/>
        </w:rPr>
      </w:pPr>
      <w:r w:rsidRPr="00044560">
        <w:rPr>
          <w:sz w:val="24"/>
          <w:szCs w:val="24"/>
          <w:lang w:bidi="ru-RU"/>
        </w:rPr>
        <w:t>Идентификация Бенефициарных владельцев Контрагента, поставляющего платину/палладий;</w:t>
      </w:r>
    </w:p>
    <w:p w14:paraId="691B2711" w14:textId="77777777" w:rsidR="00DC320F" w:rsidRPr="00044560" w:rsidRDefault="00A607E8" w:rsidP="009E68A5">
      <w:pPr>
        <w:pStyle w:val="a5"/>
        <w:widowControl/>
        <w:numPr>
          <w:ilvl w:val="1"/>
          <w:numId w:val="4"/>
        </w:numPr>
        <w:tabs>
          <w:tab w:val="left" w:pos="426"/>
          <w:tab w:val="left" w:pos="811"/>
          <w:tab w:val="left" w:pos="812"/>
        </w:tabs>
        <w:spacing w:after="120"/>
        <w:ind w:left="0" w:firstLine="0"/>
        <w:rPr>
          <w:sz w:val="24"/>
          <w:szCs w:val="24"/>
        </w:rPr>
      </w:pPr>
      <w:r w:rsidRPr="00044560">
        <w:rPr>
          <w:sz w:val="24"/>
          <w:szCs w:val="24"/>
          <w:lang w:bidi="ru-RU"/>
        </w:rPr>
        <w:t>Проверка наличия Контрагента, поставляющего платину/палладий, и его бенефициарных владельцев</w:t>
      </w:r>
      <w:r w:rsidRPr="00044560">
        <w:rPr>
          <w:sz w:val="24"/>
          <w:szCs w:val="24"/>
          <w:vertAlign w:val="superscript"/>
          <w:lang w:bidi="ru-RU"/>
        </w:rPr>
        <w:t>3</w:t>
      </w:r>
      <w:r w:rsidRPr="00044560">
        <w:rPr>
          <w:sz w:val="24"/>
          <w:szCs w:val="24"/>
          <w:lang w:bidi="ru-RU"/>
        </w:rPr>
        <w:t xml:space="preserve"> в государственных списках разыскиваемых лиц, отмывающих деньги, известных мошенников или террористов;</w:t>
      </w:r>
    </w:p>
    <w:p w14:paraId="51B69416" w14:textId="77777777" w:rsidR="00DC320F" w:rsidRPr="00044560" w:rsidRDefault="00A607E8" w:rsidP="009E68A5">
      <w:pPr>
        <w:pStyle w:val="a5"/>
        <w:widowControl/>
        <w:numPr>
          <w:ilvl w:val="1"/>
          <w:numId w:val="4"/>
        </w:numPr>
        <w:tabs>
          <w:tab w:val="left" w:pos="426"/>
          <w:tab w:val="left" w:pos="811"/>
          <w:tab w:val="left" w:pos="812"/>
        </w:tabs>
        <w:spacing w:after="120"/>
        <w:ind w:left="0" w:firstLine="0"/>
        <w:rPr>
          <w:sz w:val="24"/>
          <w:szCs w:val="24"/>
        </w:rPr>
      </w:pPr>
      <w:r w:rsidRPr="00044560">
        <w:rPr>
          <w:sz w:val="24"/>
          <w:szCs w:val="24"/>
          <w:lang w:bidi="ru-RU"/>
        </w:rPr>
        <w:t>Получение деловой и финансовой информации в отношении Контрагента, поставляющего платину/палладий, а также информации о целях и предполагаемом характере деловых отношений;</w:t>
      </w:r>
    </w:p>
    <w:p w14:paraId="645BF2D2" w14:textId="77777777" w:rsidR="00DC320F" w:rsidRPr="00044560" w:rsidRDefault="00A607E8" w:rsidP="009E68A5">
      <w:pPr>
        <w:pStyle w:val="a5"/>
        <w:widowControl/>
        <w:numPr>
          <w:ilvl w:val="1"/>
          <w:numId w:val="4"/>
        </w:numPr>
        <w:tabs>
          <w:tab w:val="left" w:pos="426"/>
          <w:tab w:val="left" w:pos="811"/>
          <w:tab w:val="left" w:pos="812"/>
        </w:tabs>
        <w:spacing w:after="120"/>
        <w:ind w:left="0" w:firstLine="0"/>
        <w:rPr>
          <w:sz w:val="24"/>
          <w:szCs w:val="24"/>
        </w:rPr>
      </w:pPr>
      <w:r w:rsidRPr="00044560">
        <w:rPr>
          <w:sz w:val="24"/>
          <w:szCs w:val="24"/>
          <w:lang w:bidi="ru-RU"/>
        </w:rPr>
        <w:t>Для Добытой платины/палладия из крупных/средних рудников:</w:t>
      </w:r>
    </w:p>
    <w:p w14:paraId="4D8E08FE" w14:textId="77777777" w:rsidR="00DC320F" w:rsidRPr="00044560" w:rsidRDefault="00A607E8" w:rsidP="00DA0B70">
      <w:pPr>
        <w:pStyle w:val="a5"/>
        <w:widowControl/>
        <w:numPr>
          <w:ilvl w:val="2"/>
          <w:numId w:val="4"/>
        </w:numPr>
        <w:tabs>
          <w:tab w:val="left" w:pos="426"/>
          <w:tab w:val="left" w:pos="1580"/>
        </w:tabs>
        <w:spacing w:after="120"/>
        <w:ind w:left="1276" w:hanging="425"/>
        <w:rPr>
          <w:sz w:val="24"/>
          <w:szCs w:val="24"/>
        </w:rPr>
      </w:pPr>
      <w:r w:rsidRPr="00044560">
        <w:rPr>
          <w:sz w:val="24"/>
          <w:szCs w:val="24"/>
          <w:lang w:bidi="ru-RU"/>
        </w:rPr>
        <w:t>Определение происхождения платины/палладия при разумных и добросовестных усилиях;</w:t>
      </w:r>
    </w:p>
    <w:p w14:paraId="5CFBCD17" w14:textId="77777777" w:rsidR="00DC320F" w:rsidRPr="00044560" w:rsidRDefault="00A607E8" w:rsidP="00DA0B70">
      <w:pPr>
        <w:pStyle w:val="a5"/>
        <w:widowControl/>
        <w:numPr>
          <w:ilvl w:val="2"/>
          <w:numId w:val="4"/>
        </w:numPr>
        <w:tabs>
          <w:tab w:val="left" w:pos="426"/>
          <w:tab w:val="left" w:pos="1580"/>
        </w:tabs>
        <w:spacing w:after="120"/>
        <w:ind w:left="1276" w:hanging="425"/>
        <w:rPr>
          <w:sz w:val="24"/>
          <w:szCs w:val="24"/>
        </w:rPr>
      </w:pPr>
      <w:r w:rsidRPr="00044560">
        <w:rPr>
          <w:sz w:val="24"/>
          <w:szCs w:val="24"/>
          <w:lang w:bidi="ru-RU"/>
        </w:rPr>
        <w:t>Получение лицензии на добычу полезных ископаемых, расположенных в зонах высокого риска, пострадавших в результате конфликтов или нарушений прав человека, если применимо;</w:t>
      </w:r>
    </w:p>
    <w:p w14:paraId="42F7DCDF" w14:textId="142CF996" w:rsidR="00DC320F" w:rsidRPr="00044560" w:rsidRDefault="00A607E8" w:rsidP="00DA0B70">
      <w:pPr>
        <w:pStyle w:val="a5"/>
        <w:widowControl/>
        <w:numPr>
          <w:ilvl w:val="2"/>
          <w:numId w:val="4"/>
        </w:numPr>
        <w:tabs>
          <w:tab w:val="left" w:pos="426"/>
          <w:tab w:val="left" w:pos="1580"/>
          <w:tab w:val="left" w:pos="2604"/>
          <w:tab w:val="left" w:pos="3922"/>
          <w:tab w:val="left" w:pos="5761"/>
          <w:tab w:val="left" w:pos="6562"/>
          <w:tab w:val="left" w:pos="6994"/>
          <w:tab w:val="left" w:pos="8830"/>
        </w:tabs>
        <w:spacing w:after="120"/>
        <w:ind w:left="1276" w:hanging="425"/>
        <w:rPr>
          <w:sz w:val="24"/>
          <w:szCs w:val="24"/>
        </w:rPr>
      </w:pPr>
      <w:r w:rsidRPr="00044560">
        <w:rPr>
          <w:sz w:val="24"/>
          <w:szCs w:val="24"/>
          <w:lang w:bidi="ru-RU"/>
        </w:rPr>
        <w:t>Получение лицензии на импорт/экспорт платины/палладия для контрагента-поставщика платины/палладия, расположенного в зонах высокого риска, пострадавших в результате конфликтов или нарушений прав человека, если применимо;</w:t>
      </w:r>
    </w:p>
    <w:p w14:paraId="39E137F8" w14:textId="77777777" w:rsidR="00DC320F" w:rsidRPr="00044560" w:rsidRDefault="00A607E8" w:rsidP="00DA0B70">
      <w:pPr>
        <w:pStyle w:val="a5"/>
        <w:widowControl/>
        <w:numPr>
          <w:ilvl w:val="2"/>
          <w:numId w:val="4"/>
        </w:numPr>
        <w:tabs>
          <w:tab w:val="left" w:pos="426"/>
          <w:tab w:val="left" w:pos="1580"/>
        </w:tabs>
        <w:spacing w:after="120"/>
        <w:ind w:left="1276" w:hanging="425"/>
        <w:rPr>
          <w:sz w:val="24"/>
          <w:szCs w:val="24"/>
        </w:rPr>
      </w:pPr>
      <w:r w:rsidRPr="00044560">
        <w:rPr>
          <w:sz w:val="24"/>
          <w:szCs w:val="24"/>
          <w:lang w:bidi="ru-RU"/>
        </w:rPr>
        <w:t>Сбор и оценка информации о практике добычи металлов;</w:t>
      </w:r>
    </w:p>
    <w:p w14:paraId="102D0096" w14:textId="77777777" w:rsidR="00DC320F" w:rsidRPr="00044560" w:rsidRDefault="00A607E8" w:rsidP="00DA0B70">
      <w:pPr>
        <w:pStyle w:val="a5"/>
        <w:widowControl/>
        <w:numPr>
          <w:ilvl w:val="2"/>
          <w:numId w:val="4"/>
        </w:numPr>
        <w:tabs>
          <w:tab w:val="left" w:pos="426"/>
          <w:tab w:val="left" w:pos="1580"/>
        </w:tabs>
        <w:spacing w:after="120"/>
        <w:ind w:left="1276" w:hanging="425"/>
        <w:rPr>
          <w:sz w:val="24"/>
          <w:szCs w:val="24"/>
        </w:rPr>
      </w:pPr>
      <w:r w:rsidRPr="00044560">
        <w:rPr>
          <w:sz w:val="24"/>
          <w:szCs w:val="24"/>
          <w:lang w:bidi="ru-RU"/>
        </w:rPr>
        <w:t>Получение данных о добывающих мощностях, при наличии таковых.</w:t>
      </w:r>
    </w:p>
    <w:p w14:paraId="3B838049" w14:textId="36A01943" w:rsidR="00DC320F" w:rsidRPr="00044560" w:rsidRDefault="00A607E8" w:rsidP="009E68A5">
      <w:pPr>
        <w:pStyle w:val="a5"/>
        <w:widowControl/>
        <w:numPr>
          <w:ilvl w:val="0"/>
          <w:numId w:val="3"/>
        </w:numPr>
        <w:tabs>
          <w:tab w:val="left" w:pos="426"/>
          <w:tab w:val="left" w:pos="848"/>
        </w:tabs>
        <w:spacing w:after="120"/>
        <w:ind w:left="0" w:firstLine="0"/>
        <w:rPr>
          <w:sz w:val="24"/>
          <w:szCs w:val="24"/>
        </w:rPr>
      </w:pPr>
      <w:proofErr w:type="gramStart"/>
      <w:r w:rsidRPr="00044560">
        <w:rPr>
          <w:sz w:val="24"/>
          <w:szCs w:val="24"/>
          <w:lang w:bidi="ru-RU"/>
        </w:rPr>
        <w:t xml:space="preserve">Для Переработанной платины/палладия </w:t>
      </w:r>
      <w:r w:rsidR="00A17F6E" w:rsidRPr="00044560">
        <w:rPr>
          <w:sz w:val="24"/>
          <w:szCs w:val="24"/>
          <w:lang w:bidi="ru-RU"/>
        </w:rPr>
        <w:t xml:space="preserve">— </w:t>
      </w:r>
      <w:r w:rsidRPr="00044560">
        <w:rPr>
          <w:sz w:val="24"/>
          <w:szCs w:val="24"/>
          <w:lang w:bidi="ru-RU"/>
        </w:rPr>
        <w:t>сбор и оценка информации о применяемых контрагентом-поставщиком Переработанной платины/палладия политике и практике Противодействия отмыванию денег (AML) - Борьбы с финансированием терроризма (CFT), если применимо.</w:t>
      </w:r>
      <w:proofErr w:type="gramEnd"/>
    </w:p>
    <w:p w14:paraId="3EDD49D6" w14:textId="77777777" w:rsidR="00DC320F" w:rsidRPr="00044560" w:rsidRDefault="00A607E8" w:rsidP="009E68A5">
      <w:pPr>
        <w:pStyle w:val="a5"/>
        <w:widowControl/>
        <w:numPr>
          <w:ilvl w:val="0"/>
          <w:numId w:val="3"/>
        </w:numPr>
        <w:tabs>
          <w:tab w:val="left" w:pos="426"/>
          <w:tab w:val="left" w:pos="848"/>
        </w:tabs>
        <w:spacing w:after="120"/>
        <w:ind w:left="0" w:firstLine="0"/>
        <w:rPr>
          <w:sz w:val="24"/>
          <w:szCs w:val="24"/>
        </w:rPr>
      </w:pPr>
      <w:r w:rsidRPr="00044560">
        <w:rPr>
          <w:sz w:val="24"/>
          <w:szCs w:val="24"/>
          <w:lang w:bidi="ru-RU"/>
        </w:rPr>
        <w:t xml:space="preserve">Проведение постоянной комплексной </w:t>
      </w:r>
      <w:proofErr w:type="gramStart"/>
      <w:r w:rsidRPr="00044560">
        <w:rPr>
          <w:sz w:val="24"/>
          <w:szCs w:val="24"/>
          <w:lang w:bidi="ru-RU"/>
        </w:rPr>
        <w:t>экспертизы цепочки поставок платины/палладия</w:t>
      </w:r>
      <w:proofErr w:type="gramEnd"/>
      <w:r w:rsidRPr="00044560">
        <w:rPr>
          <w:sz w:val="24"/>
          <w:szCs w:val="24"/>
          <w:lang w:bidi="ru-RU"/>
        </w:rPr>
        <w:t>.</w:t>
      </w:r>
    </w:p>
    <w:p w14:paraId="5430F5DF" w14:textId="77777777" w:rsidR="00DC320F" w:rsidRPr="00044560" w:rsidRDefault="00A607E8" w:rsidP="009E68A5">
      <w:pPr>
        <w:pStyle w:val="a3"/>
        <w:widowControl/>
        <w:tabs>
          <w:tab w:val="left" w:pos="426"/>
        </w:tabs>
        <w:spacing w:after="120"/>
        <w:jc w:val="both"/>
        <w:rPr>
          <w:sz w:val="24"/>
          <w:szCs w:val="24"/>
        </w:rPr>
      </w:pPr>
      <w:r w:rsidRPr="00044560">
        <w:rPr>
          <w:sz w:val="24"/>
          <w:szCs w:val="24"/>
          <w:lang w:bidi="ru-RU"/>
        </w:rPr>
        <w:t>В рамках Комплексной экспертизы цепочки поставок Аффинажные предприятия должны применить все приведенные выше меры, но при этом они могут определить масштабы таких мер с учетом чувствительности к риску в зависимости от типа компании, деловых отношений, типа сделки, местонахождения компании или транзитной зоны. Для категорий высокого риска следует проводить расширенную Комплексную экспертизу, для чего необходимо предпринять следующие дополнительные шаги:</w:t>
      </w:r>
    </w:p>
    <w:p w14:paraId="67032439" w14:textId="36F5FD60" w:rsidR="00DC320F" w:rsidRPr="00044560" w:rsidRDefault="00A607E8" w:rsidP="009E68A5">
      <w:pPr>
        <w:pStyle w:val="a5"/>
        <w:widowControl/>
        <w:numPr>
          <w:ilvl w:val="0"/>
          <w:numId w:val="3"/>
        </w:numPr>
        <w:tabs>
          <w:tab w:val="left" w:pos="426"/>
          <w:tab w:val="left" w:pos="860"/>
        </w:tabs>
        <w:spacing w:after="120"/>
        <w:ind w:left="0" w:firstLine="0"/>
        <w:jc w:val="both"/>
        <w:rPr>
          <w:sz w:val="24"/>
          <w:szCs w:val="24"/>
        </w:rPr>
      </w:pPr>
      <w:r w:rsidRPr="00044560">
        <w:rPr>
          <w:sz w:val="24"/>
          <w:szCs w:val="24"/>
          <w:lang w:bidi="ru-RU"/>
        </w:rPr>
        <w:t>Исследование на месте/посещение</w:t>
      </w:r>
      <w:r w:rsidR="00200AC9" w:rsidRPr="00044560">
        <w:rPr>
          <w:sz w:val="24"/>
          <w:szCs w:val="24"/>
          <w:lang w:bidi="ru-RU"/>
        </w:rPr>
        <w:t xml:space="preserve"> </w:t>
      </w:r>
      <w:r w:rsidRPr="00044560">
        <w:rPr>
          <w:sz w:val="24"/>
          <w:szCs w:val="24"/>
          <w:lang w:bidi="ru-RU"/>
        </w:rPr>
        <w:t>(</w:t>
      </w:r>
      <w:r w:rsidR="00A17F6E" w:rsidRPr="00044560">
        <w:rPr>
          <w:sz w:val="24"/>
          <w:szCs w:val="24"/>
          <w:lang w:bidi="ru-RU"/>
        </w:rPr>
        <w:t xml:space="preserve">участков </w:t>
      </w:r>
      <w:r w:rsidRPr="00044560">
        <w:rPr>
          <w:sz w:val="24"/>
          <w:szCs w:val="24"/>
          <w:lang w:bidi="ru-RU"/>
        </w:rPr>
        <w:t>добычи для Добытой платины/палладия и офис</w:t>
      </w:r>
      <w:r w:rsidR="00A17F6E" w:rsidRPr="00044560">
        <w:rPr>
          <w:sz w:val="24"/>
          <w:szCs w:val="24"/>
          <w:lang w:bidi="ru-RU"/>
        </w:rPr>
        <w:t>а</w:t>
      </w:r>
      <w:r w:rsidRPr="00044560">
        <w:rPr>
          <w:sz w:val="24"/>
          <w:szCs w:val="24"/>
          <w:lang w:bidi="ru-RU"/>
        </w:rPr>
        <w:t xml:space="preserve"> контрагента-поставщика платины/палладия для Переработанной платины/палладия) для поставок с высоким риском, направленное на обоснование документальных выводов комплексной экспертизы цепочки поставок, которое должно быть проведено в течение первого года деловых отношений;</w:t>
      </w:r>
    </w:p>
    <w:p w14:paraId="7E9187D4" w14:textId="16062425" w:rsidR="00DC320F" w:rsidRPr="00044560" w:rsidRDefault="00A607E8" w:rsidP="009E68A5">
      <w:pPr>
        <w:pStyle w:val="a5"/>
        <w:widowControl/>
        <w:numPr>
          <w:ilvl w:val="0"/>
          <w:numId w:val="3"/>
        </w:numPr>
        <w:tabs>
          <w:tab w:val="left" w:pos="426"/>
          <w:tab w:val="left" w:pos="860"/>
        </w:tabs>
        <w:spacing w:after="120"/>
        <w:ind w:left="0" w:firstLine="0"/>
        <w:jc w:val="both"/>
        <w:rPr>
          <w:sz w:val="24"/>
          <w:szCs w:val="24"/>
        </w:rPr>
      </w:pPr>
      <w:r w:rsidRPr="00044560">
        <w:rPr>
          <w:sz w:val="24"/>
          <w:szCs w:val="24"/>
          <w:lang w:bidi="ru-RU"/>
        </w:rPr>
        <w:t xml:space="preserve">Для добытой платины/палладия: </w:t>
      </w:r>
      <w:proofErr w:type="gramStart"/>
      <w:r w:rsidRPr="00044560">
        <w:rPr>
          <w:sz w:val="24"/>
          <w:szCs w:val="24"/>
          <w:lang w:bidi="ru-RU"/>
        </w:rPr>
        <w:t xml:space="preserve">Проверка личности с использованием надежных, независимых исходных документов, данных или информации, а также проверка информации из правительственных </w:t>
      </w:r>
      <w:r w:rsidR="00955EE4" w:rsidRPr="00044560">
        <w:rPr>
          <w:sz w:val="24"/>
          <w:szCs w:val="24"/>
          <w:lang w:bidi="ru-RU"/>
        </w:rPr>
        <w:t>розыскных списков</w:t>
      </w:r>
      <w:r w:rsidRPr="00044560">
        <w:rPr>
          <w:sz w:val="24"/>
          <w:szCs w:val="24"/>
          <w:lang w:bidi="ru-RU"/>
        </w:rPr>
        <w:t xml:space="preserve"> должна проводиться для </w:t>
      </w:r>
      <w:r w:rsidRPr="00044560">
        <w:rPr>
          <w:sz w:val="24"/>
          <w:szCs w:val="24"/>
          <w:lang w:bidi="ru-RU"/>
        </w:rPr>
        <w:lastRenderedPageBreak/>
        <w:t>каждой</w:t>
      </w:r>
      <w:r w:rsidR="00200AC9" w:rsidRPr="00044560">
        <w:rPr>
          <w:sz w:val="24"/>
          <w:szCs w:val="24"/>
          <w:lang w:bidi="ru-RU"/>
        </w:rPr>
        <w:t xml:space="preserve"> </w:t>
      </w:r>
      <w:r w:rsidRPr="00044560">
        <w:rPr>
          <w:sz w:val="24"/>
          <w:szCs w:val="24"/>
          <w:lang w:bidi="ru-RU"/>
        </w:rPr>
        <w:t>вовлеченной в цепочку компании, расположенной в зонах, затронутых конфликтами или подверженных риску нарушения прав человека, от рудника до аффинажного предприятия (включая производителей платины/палладия, посредников, трейдеров и экспортеров платины/серебра, а также перевозчиков);</w:t>
      </w:r>
      <w:proofErr w:type="gramEnd"/>
    </w:p>
    <w:p w14:paraId="3014CA26" w14:textId="04A551DF" w:rsidR="00DC320F" w:rsidRPr="00044560" w:rsidRDefault="00A607E8" w:rsidP="009E68A5">
      <w:pPr>
        <w:pStyle w:val="a5"/>
        <w:widowControl/>
        <w:numPr>
          <w:ilvl w:val="0"/>
          <w:numId w:val="3"/>
        </w:numPr>
        <w:tabs>
          <w:tab w:val="left" w:pos="426"/>
          <w:tab w:val="left" w:pos="860"/>
        </w:tabs>
        <w:spacing w:after="120"/>
        <w:ind w:left="0" w:firstLine="0"/>
        <w:jc w:val="both"/>
        <w:rPr>
          <w:sz w:val="24"/>
          <w:szCs w:val="24"/>
        </w:rPr>
      </w:pPr>
      <w:r w:rsidRPr="00044560">
        <w:rPr>
          <w:sz w:val="24"/>
          <w:szCs w:val="24"/>
          <w:lang w:bidi="ru-RU"/>
        </w:rPr>
        <w:t xml:space="preserve">Для переработанной платины/палладия: Проверка личности с использованием надежных, независимых исходных документов, данных или информации, а также проверка информации из правительственных </w:t>
      </w:r>
      <w:r w:rsidR="00BA4172" w:rsidRPr="00044560">
        <w:rPr>
          <w:sz w:val="24"/>
          <w:szCs w:val="24"/>
          <w:lang w:bidi="ru-RU"/>
        </w:rPr>
        <w:t>розыскных списков</w:t>
      </w:r>
      <w:r w:rsidRPr="00044560">
        <w:rPr>
          <w:sz w:val="24"/>
          <w:szCs w:val="24"/>
          <w:lang w:bidi="ru-RU"/>
        </w:rPr>
        <w:t xml:space="preserve"> должна проводиться для каждой вовлеченной в цепочку компании, расположенной в зонах, затронутых конфликтами или подверженных риску нарушения прав человека, от контрагента-поставщика платины/палладия до аффинажного предприятия (включая перевозчиков). </w:t>
      </w:r>
    </w:p>
    <w:p w14:paraId="016B9F72" w14:textId="77777777" w:rsidR="00DC320F" w:rsidRPr="00044560" w:rsidRDefault="00A607E8" w:rsidP="009E68A5">
      <w:pPr>
        <w:pStyle w:val="3"/>
        <w:widowControl/>
        <w:tabs>
          <w:tab w:val="left" w:pos="426"/>
        </w:tabs>
        <w:spacing w:after="120"/>
        <w:ind w:left="0"/>
        <w:rPr>
          <w:sz w:val="24"/>
          <w:szCs w:val="24"/>
        </w:rPr>
      </w:pPr>
      <w:r w:rsidRPr="00044560">
        <w:rPr>
          <w:sz w:val="24"/>
          <w:szCs w:val="24"/>
          <w:lang w:bidi="ru-RU"/>
        </w:rPr>
        <w:t>Цепочки поставок с высоким уровнем риска</w:t>
      </w:r>
    </w:p>
    <w:p w14:paraId="11CD4FF0"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установить собственные критерии для определения цепочек поставок с высоким риском. При этом</w:t>
      </w:r>
      <w:proofErr w:type="gramStart"/>
      <w:r w:rsidRPr="00044560">
        <w:rPr>
          <w:sz w:val="24"/>
          <w:szCs w:val="24"/>
          <w:lang w:bidi="ru-RU"/>
        </w:rPr>
        <w:t>,</w:t>
      </w:r>
      <w:proofErr w:type="gramEnd"/>
      <w:r w:rsidRPr="00044560">
        <w:rPr>
          <w:sz w:val="24"/>
          <w:szCs w:val="24"/>
          <w:lang w:bidi="ru-RU"/>
        </w:rPr>
        <w:t xml:space="preserve"> минимальные критерии ниже должны рассматриваться как критерии высокого риска и вызывать необходимость проведения расширенной Комплексной экспертизы:</w:t>
      </w:r>
    </w:p>
    <w:p w14:paraId="2152D1C2" w14:textId="77777777" w:rsidR="00DC320F" w:rsidRPr="00044560" w:rsidRDefault="00A607E8" w:rsidP="009E68A5">
      <w:pPr>
        <w:pStyle w:val="a5"/>
        <w:widowControl/>
        <w:numPr>
          <w:ilvl w:val="0"/>
          <w:numId w:val="3"/>
        </w:numPr>
        <w:tabs>
          <w:tab w:val="left" w:pos="426"/>
          <w:tab w:val="left" w:pos="859"/>
          <w:tab w:val="left" w:pos="860"/>
        </w:tabs>
        <w:spacing w:after="120"/>
        <w:ind w:left="0" w:firstLine="0"/>
        <w:rPr>
          <w:sz w:val="24"/>
          <w:szCs w:val="24"/>
        </w:rPr>
      </w:pPr>
      <w:r w:rsidRPr="00044560">
        <w:rPr>
          <w:sz w:val="24"/>
          <w:szCs w:val="24"/>
          <w:lang w:bidi="ru-RU"/>
        </w:rPr>
        <w:t xml:space="preserve">Добытая платина/палладий или Переработанная платина/палладий поступила </w:t>
      </w:r>
      <w:proofErr w:type="gramStart"/>
      <w:r w:rsidRPr="00044560">
        <w:rPr>
          <w:sz w:val="24"/>
          <w:szCs w:val="24"/>
          <w:lang w:bidi="ru-RU"/>
        </w:rPr>
        <w:t>из</w:t>
      </w:r>
      <w:proofErr w:type="gramEnd"/>
      <w:r w:rsidRPr="00044560">
        <w:rPr>
          <w:sz w:val="24"/>
          <w:szCs w:val="24"/>
          <w:lang w:bidi="ru-RU"/>
        </w:rPr>
        <w:t xml:space="preserve">, прошла </w:t>
      </w:r>
      <w:proofErr w:type="gramStart"/>
      <w:r w:rsidRPr="00044560">
        <w:rPr>
          <w:sz w:val="24"/>
          <w:szCs w:val="24"/>
          <w:lang w:bidi="ru-RU"/>
        </w:rPr>
        <w:t>транзитом</w:t>
      </w:r>
      <w:proofErr w:type="gramEnd"/>
      <w:r w:rsidRPr="00044560">
        <w:rPr>
          <w:sz w:val="24"/>
          <w:szCs w:val="24"/>
          <w:lang w:bidi="ru-RU"/>
        </w:rPr>
        <w:t xml:space="preserve"> или транспортировалась через зону высокого риска, пострадавшую в результате конфликтов или нарушений прав человека.</w:t>
      </w:r>
    </w:p>
    <w:p w14:paraId="0145B2FE" w14:textId="77777777" w:rsidR="00DC320F" w:rsidRPr="00044560" w:rsidRDefault="00A607E8" w:rsidP="009E68A5">
      <w:pPr>
        <w:pStyle w:val="a5"/>
        <w:widowControl/>
        <w:numPr>
          <w:ilvl w:val="0"/>
          <w:numId w:val="3"/>
        </w:numPr>
        <w:tabs>
          <w:tab w:val="left" w:pos="426"/>
          <w:tab w:val="left" w:pos="859"/>
          <w:tab w:val="left" w:pos="860"/>
        </w:tabs>
        <w:spacing w:after="120"/>
        <w:ind w:left="0" w:firstLine="0"/>
        <w:rPr>
          <w:sz w:val="24"/>
          <w:szCs w:val="24"/>
        </w:rPr>
      </w:pPr>
      <w:r w:rsidRPr="00044560">
        <w:rPr>
          <w:sz w:val="24"/>
          <w:szCs w:val="24"/>
          <w:lang w:bidi="ru-RU"/>
        </w:rPr>
        <w:t>Утверждается, что Добытая платина/палладий поступила из страны, которая имеет ограниченные известные запасы, вероятные ресурсы или ожидаемые уровни производства платины/палладия;</w:t>
      </w:r>
    </w:p>
    <w:p w14:paraId="69F07C3F" w14:textId="77777777" w:rsidR="00DC320F" w:rsidRPr="00044560" w:rsidRDefault="00A607E8" w:rsidP="009E68A5">
      <w:pPr>
        <w:pStyle w:val="a5"/>
        <w:widowControl/>
        <w:numPr>
          <w:ilvl w:val="0"/>
          <w:numId w:val="3"/>
        </w:numPr>
        <w:tabs>
          <w:tab w:val="left" w:pos="426"/>
          <w:tab w:val="left" w:pos="859"/>
          <w:tab w:val="left" w:pos="860"/>
        </w:tabs>
        <w:spacing w:after="120"/>
        <w:ind w:left="0" w:firstLine="0"/>
        <w:rPr>
          <w:sz w:val="24"/>
          <w:szCs w:val="24"/>
        </w:rPr>
      </w:pPr>
      <w:r w:rsidRPr="00044560">
        <w:rPr>
          <w:sz w:val="24"/>
          <w:szCs w:val="24"/>
          <w:lang w:bidi="ru-RU"/>
        </w:rPr>
        <w:t>Переработанная платина/палладий поступила из страны, через которую, как известно, или как есть основания подозревать, платина/палладий прошла транзитом из зоны высокого риска, пострадавшей в результате конфликтов или нарушений прав человека;</w:t>
      </w:r>
    </w:p>
    <w:p w14:paraId="49DB6766" w14:textId="77777777" w:rsidR="00DC320F" w:rsidRPr="00044560" w:rsidRDefault="00A607E8" w:rsidP="009E68A5">
      <w:pPr>
        <w:pStyle w:val="a5"/>
        <w:widowControl/>
        <w:numPr>
          <w:ilvl w:val="0"/>
          <w:numId w:val="3"/>
        </w:numPr>
        <w:tabs>
          <w:tab w:val="left" w:pos="426"/>
          <w:tab w:val="left" w:pos="859"/>
          <w:tab w:val="left" w:pos="860"/>
        </w:tabs>
        <w:spacing w:after="120"/>
        <w:ind w:left="0" w:firstLine="0"/>
        <w:rPr>
          <w:sz w:val="24"/>
          <w:szCs w:val="24"/>
        </w:rPr>
      </w:pPr>
      <w:r w:rsidRPr="00044560">
        <w:rPr>
          <w:sz w:val="24"/>
          <w:szCs w:val="24"/>
          <w:lang w:bidi="ru-RU"/>
        </w:rPr>
        <w:t>Контрагент, поставляющий платину/палладий, или иные известные добывающие компании находятся в стране, представляющей высокий риск отмывания денег;</w:t>
      </w:r>
    </w:p>
    <w:p w14:paraId="011A8DF9" w14:textId="554294DA" w:rsidR="00DC320F" w:rsidRPr="00044560" w:rsidRDefault="00A607E8" w:rsidP="009E68A5">
      <w:pPr>
        <w:pStyle w:val="a5"/>
        <w:widowControl/>
        <w:numPr>
          <w:ilvl w:val="0"/>
          <w:numId w:val="3"/>
        </w:numPr>
        <w:tabs>
          <w:tab w:val="left" w:pos="426"/>
          <w:tab w:val="left" w:pos="859"/>
          <w:tab w:val="left" w:pos="860"/>
        </w:tabs>
        <w:spacing w:after="120"/>
        <w:ind w:left="0" w:firstLine="0"/>
        <w:rPr>
          <w:sz w:val="24"/>
          <w:szCs w:val="24"/>
        </w:rPr>
      </w:pPr>
      <w:r w:rsidRPr="00044560">
        <w:rPr>
          <w:sz w:val="24"/>
          <w:szCs w:val="24"/>
          <w:lang w:bidi="ru-RU"/>
        </w:rPr>
        <w:t xml:space="preserve">Контрагент, поставляющий платину/палладий, или иные известные добывающие компании или их </w:t>
      </w:r>
      <w:proofErr w:type="spellStart"/>
      <w:r w:rsidRPr="00044560">
        <w:rPr>
          <w:sz w:val="24"/>
          <w:szCs w:val="24"/>
          <w:lang w:bidi="ru-RU"/>
        </w:rPr>
        <w:t>бенефициарные</w:t>
      </w:r>
      <w:proofErr w:type="spellEnd"/>
      <w:r w:rsidRPr="00044560">
        <w:rPr>
          <w:sz w:val="24"/>
          <w:szCs w:val="24"/>
          <w:lang w:bidi="ru-RU"/>
        </w:rPr>
        <w:t xml:space="preserve"> владельцы, имеющие значительное влияние на Контрагента, поставляющего платину/</w:t>
      </w:r>
      <w:r w:rsidR="00C20859" w:rsidRPr="00044560">
        <w:rPr>
          <w:sz w:val="24"/>
          <w:szCs w:val="24"/>
          <w:lang w:bidi="ru-RU"/>
        </w:rPr>
        <w:t>палладий</w:t>
      </w:r>
      <w:r w:rsidRPr="00044560">
        <w:rPr>
          <w:sz w:val="24"/>
          <w:szCs w:val="24"/>
          <w:lang w:bidi="ru-RU"/>
        </w:rPr>
        <w:t>, являются политически значимыми лицами;</w:t>
      </w:r>
    </w:p>
    <w:p w14:paraId="72C53BBB" w14:textId="7E251DEF" w:rsidR="00DC320F" w:rsidRPr="00044560" w:rsidRDefault="00A607E8" w:rsidP="009E68A5">
      <w:pPr>
        <w:pStyle w:val="a5"/>
        <w:widowControl/>
        <w:numPr>
          <w:ilvl w:val="0"/>
          <w:numId w:val="3"/>
        </w:numPr>
        <w:tabs>
          <w:tab w:val="left" w:pos="426"/>
          <w:tab w:val="left" w:pos="859"/>
          <w:tab w:val="left" w:pos="860"/>
        </w:tabs>
        <w:spacing w:after="120"/>
        <w:ind w:left="0" w:firstLine="0"/>
        <w:rPr>
          <w:sz w:val="24"/>
          <w:szCs w:val="24"/>
        </w:rPr>
      </w:pPr>
      <w:r w:rsidRPr="00044560">
        <w:rPr>
          <w:sz w:val="24"/>
          <w:szCs w:val="24"/>
          <w:lang w:bidi="ru-RU"/>
        </w:rPr>
        <w:t xml:space="preserve">Контрагент, поставляющий платину/палладий, или иные известные добывающие компании активно занимаются деятельностью, связанной с высоким риском, </w:t>
      </w:r>
      <w:r w:rsidR="00C20859" w:rsidRPr="00044560">
        <w:rPr>
          <w:sz w:val="24"/>
          <w:szCs w:val="24"/>
          <w:lang w:bidi="ru-RU"/>
        </w:rPr>
        <w:t>такой, как</w:t>
      </w:r>
      <w:r w:rsidRPr="00044560">
        <w:rPr>
          <w:sz w:val="24"/>
          <w:szCs w:val="24"/>
          <w:lang w:bidi="ru-RU"/>
        </w:rPr>
        <w:t xml:space="preserve"> </w:t>
      </w:r>
      <w:r w:rsidR="00C20859" w:rsidRPr="00044560">
        <w:rPr>
          <w:sz w:val="24"/>
          <w:szCs w:val="24"/>
          <w:lang w:bidi="ru-RU"/>
        </w:rPr>
        <w:t>торговля</w:t>
      </w:r>
      <w:r w:rsidR="00D771C0" w:rsidRPr="00044560">
        <w:rPr>
          <w:sz w:val="24"/>
          <w:szCs w:val="24"/>
          <w:lang w:bidi="ru-RU"/>
        </w:rPr>
        <w:t xml:space="preserve"> оружи</w:t>
      </w:r>
      <w:r w:rsidR="00DA0B70" w:rsidRPr="00044560">
        <w:rPr>
          <w:sz w:val="24"/>
          <w:szCs w:val="24"/>
          <w:lang w:bidi="ru-RU"/>
        </w:rPr>
        <w:t>ем</w:t>
      </w:r>
      <w:r w:rsidRPr="00044560">
        <w:rPr>
          <w:sz w:val="24"/>
          <w:szCs w:val="24"/>
          <w:lang w:bidi="ru-RU"/>
        </w:rPr>
        <w:t xml:space="preserve">, </w:t>
      </w:r>
      <w:r w:rsidR="00D771C0" w:rsidRPr="00044560">
        <w:rPr>
          <w:sz w:val="24"/>
          <w:szCs w:val="24"/>
          <w:lang w:bidi="ru-RU"/>
        </w:rPr>
        <w:t>игорны</w:t>
      </w:r>
      <w:r w:rsidR="00C20859" w:rsidRPr="00044560">
        <w:rPr>
          <w:sz w:val="24"/>
          <w:szCs w:val="24"/>
          <w:lang w:bidi="ru-RU"/>
        </w:rPr>
        <w:t>й</w:t>
      </w:r>
      <w:r w:rsidR="00D771C0" w:rsidRPr="00044560">
        <w:rPr>
          <w:sz w:val="24"/>
          <w:szCs w:val="24"/>
          <w:lang w:bidi="ru-RU"/>
        </w:rPr>
        <w:t xml:space="preserve"> </w:t>
      </w:r>
      <w:r w:rsidRPr="00044560">
        <w:rPr>
          <w:sz w:val="24"/>
          <w:szCs w:val="24"/>
          <w:lang w:bidi="ru-RU"/>
        </w:rPr>
        <w:t xml:space="preserve">бизнес, </w:t>
      </w:r>
      <w:r w:rsidR="00C20859" w:rsidRPr="00044560">
        <w:rPr>
          <w:sz w:val="24"/>
          <w:szCs w:val="24"/>
          <w:lang w:bidi="ru-RU"/>
        </w:rPr>
        <w:t>торговля</w:t>
      </w:r>
      <w:r w:rsidR="00D771C0" w:rsidRPr="00044560">
        <w:rPr>
          <w:sz w:val="24"/>
          <w:szCs w:val="24"/>
          <w:lang w:bidi="ru-RU"/>
        </w:rPr>
        <w:t xml:space="preserve"> </w:t>
      </w:r>
      <w:r w:rsidRPr="00044560">
        <w:rPr>
          <w:sz w:val="24"/>
          <w:szCs w:val="24"/>
          <w:lang w:bidi="ru-RU"/>
        </w:rPr>
        <w:t>антиквариат</w:t>
      </w:r>
      <w:r w:rsidR="00C20859" w:rsidRPr="00044560">
        <w:rPr>
          <w:sz w:val="24"/>
          <w:szCs w:val="24"/>
          <w:lang w:bidi="ru-RU"/>
        </w:rPr>
        <w:t>ом</w:t>
      </w:r>
      <w:r w:rsidRPr="00044560">
        <w:rPr>
          <w:sz w:val="24"/>
          <w:szCs w:val="24"/>
          <w:lang w:bidi="ru-RU"/>
        </w:rPr>
        <w:t xml:space="preserve"> и </w:t>
      </w:r>
      <w:r w:rsidR="00D771C0" w:rsidRPr="00044560">
        <w:rPr>
          <w:sz w:val="24"/>
          <w:szCs w:val="24"/>
          <w:lang w:bidi="ru-RU"/>
        </w:rPr>
        <w:t>предмет</w:t>
      </w:r>
      <w:r w:rsidR="00C20859" w:rsidRPr="00044560">
        <w:rPr>
          <w:sz w:val="24"/>
          <w:szCs w:val="24"/>
          <w:lang w:bidi="ru-RU"/>
        </w:rPr>
        <w:t>ами</w:t>
      </w:r>
      <w:r w:rsidR="00D771C0" w:rsidRPr="00044560">
        <w:rPr>
          <w:sz w:val="24"/>
          <w:szCs w:val="24"/>
          <w:lang w:bidi="ru-RU"/>
        </w:rPr>
        <w:t xml:space="preserve"> </w:t>
      </w:r>
      <w:r w:rsidRPr="00044560">
        <w:rPr>
          <w:sz w:val="24"/>
          <w:szCs w:val="24"/>
          <w:lang w:bidi="ru-RU"/>
        </w:rPr>
        <w:t xml:space="preserve">искусства, </w:t>
      </w:r>
      <w:r w:rsidR="00D771C0" w:rsidRPr="00044560">
        <w:rPr>
          <w:sz w:val="24"/>
          <w:szCs w:val="24"/>
          <w:lang w:bidi="ru-RU"/>
        </w:rPr>
        <w:t>сект</w:t>
      </w:r>
      <w:r w:rsidR="00C20859" w:rsidRPr="00044560">
        <w:rPr>
          <w:sz w:val="24"/>
          <w:szCs w:val="24"/>
          <w:lang w:bidi="ru-RU"/>
        </w:rPr>
        <w:t>ы</w:t>
      </w:r>
      <w:r w:rsidR="00D771C0" w:rsidRPr="00044560">
        <w:rPr>
          <w:sz w:val="24"/>
          <w:szCs w:val="24"/>
          <w:lang w:bidi="ru-RU"/>
        </w:rPr>
        <w:t xml:space="preserve"> </w:t>
      </w:r>
      <w:r w:rsidRPr="00044560">
        <w:rPr>
          <w:sz w:val="24"/>
          <w:szCs w:val="24"/>
          <w:lang w:bidi="ru-RU"/>
        </w:rPr>
        <w:t xml:space="preserve">и их </w:t>
      </w:r>
      <w:r w:rsidR="00D771C0" w:rsidRPr="00044560">
        <w:rPr>
          <w:sz w:val="24"/>
          <w:szCs w:val="24"/>
          <w:lang w:bidi="ru-RU"/>
        </w:rPr>
        <w:t>лидер</w:t>
      </w:r>
      <w:r w:rsidR="00C20859" w:rsidRPr="00044560">
        <w:rPr>
          <w:sz w:val="24"/>
          <w:szCs w:val="24"/>
          <w:lang w:bidi="ru-RU"/>
        </w:rPr>
        <w:t>ы</w:t>
      </w:r>
      <w:r w:rsidRPr="00044560">
        <w:rPr>
          <w:sz w:val="24"/>
          <w:szCs w:val="24"/>
          <w:lang w:bidi="ru-RU"/>
        </w:rPr>
        <w:t>.</w:t>
      </w:r>
    </w:p>
    <w:p w14:paraId="6594CD1B"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вернуться к проведенной Комплексной экспертизе в разумные сроки, которые должны быть определены во внутренней процедуре для цепочки поставок с низким и высоким уровнем риска.</w:t>
      </w:r>
    </w:p>
    <w:p w14:paraId="05AAF2FE"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proofErr w:type="gramStart"/>
      <w:r w:rsidRPr="00044560">
        <w:rPr>
          <w:sz w:val="24"/>
          <w:szCs w:val="24"/>
          <w:lang w:bidi="ru-RU"/>
        </w:rPr>
        <w:t>При изменении уровня риска на высокий, Аффинажные предприятия должны в разумные сроки выполнить шаги в рамках расширенной Комплексной экспертизы, и при необходимости применить Шаг 3 «Разработка и внедрение стратегии управления для реагирования на выявленные риски».</w:t>
      </w:r>
      <w:proofErr w:type="gramEnd"/>
    </w:p>
    <w:p w14:paraId="42415B08" w14:textId="77777777" w:rsidR="00DC320F" w:rsidRPr="00044560" w:rsidRDefault="00A607E8" w:rsidP="00044560">
      <w:pPr>
        <w:pStyle w:val="3"/>
        <w:keepNext/>
        <w:widowControl/>
        <w:tabs>
          <w:tab w:val="left" w:pos="426"/>
        </w:tabs>
        <w:spacing w:after="120"/>
        <w:ind w:left="0"/>
        <w:rPr>
          <w:sz w:val="24"/>
          <w:szCs w:val="24"/>
        </w:rPr>
      </w:pPr>
      <w:r w:rsidRPr="00044560">
        <w:rPr>
          <w:sz w:val="24"/>
          <w:szCs w:val="24"/>
          <w:lang w:bidi="ru-RU"/>
        </w:rPr>
        <w:lastRenderedPageBreak/>
        <w:t>Мониторинг сделок</w:t>
      </w:r>
    </w:p>
    <w:p w14:paraId="2E888BB3"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Аффинажное предприятие должно проводить соответствующую проверку и осуществлять мониторинг сделок, совершаемых в ходе взаимоотношений, с тем, чтобы гарантировать их соответствие имеющимся у Аффинажного предприятия сведениям о цепочке поставок и характеристиках рисков. Мониторинг сделок осуществляется с учетом рисков.</w:t>
      </w:r>
    </w:p>
    <w:p w14:paraId="66F9CC14"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В этой связи, Аффинажное предприятие должно получить и зафиксировать следующую информацию по каждой полученной партии:</w:t>
      </w:r>
    </w:p>
    <w:p w14:paraId="48EA6340" w14:textId="77777777" w:rsidR="00DC320F" w:rsidRPr="00044560" w:rsidRDefault="00A607E8" w:rsidP="009E68A5">
      <w:pPr>
        <w:pStyle w:val="a5"/>
        <w:widowControl/>
        <w:numPr>
          <w:ilvl w:val="0"/>
          <w:numId w:val="3"/>
        </w:numPr>
        <w:tabs>
          <w:tab w:val="left" w:pos="426"/>
          <w:tab w:val="left" w:pos="848"/>
        </w:tabs>
        <w:spacing w:after="120"/>
        <w:ind w:left="0" w:firstLine="0"/>
        <w:rPr>
          <w:sz w:val="24"/>
          <w:szCs w:val="24"/>
        </w:rPr>
      </w:pPr>
      <w:r w:rsidRPr="00044560">
        <w:rPr>
          <w:sz w:val="24"/>
          <w:szCs w:val="24"/>
          <w:lang w:bidi="ru-RU"/>
        </w:rPr>
        <w:t>Для добытой платины/палладия:</w:t>
      </w:r>
    </w:p>
    <w:p w14:paraId="6DE599FE" w14:textId="50AA014A" w:rsidR="00DC320F" w:rsidRPr="00044560" w:rsidRDefault="00C20859" w:rsidP="009E68A5">
      <w:pPr>
        <w:pStyle w:val="a5"/>
        <w:widowControl/>
        <w:numPr>
          <w:ilvl w:val="1"/>
          <w:numId w:val="3"/>
        </w:numPr>
        <w:tabs>
          <w:tab w:val="left" w:pos="426"/>
          <w:tab w:val="left" w:pos="1580"/>
        </w:tabs>
        <w:spacing w:after="120"/>
        <w:ind w:left="0" w:firstLine="0"/>
        <w:rPr>
          <w:sz w:val="24"/>
          <w:szCs w:val="24"/>
        </w:rPr>
      </w:pPr>
      <w:r w:rsidRPr="00044560">
        <w:rPr>
          <w:sz w:val="24"/>
          <w:szCs w:val="24"/>
          <w:lang w:bidi="ru-RU"/>
        </w:rPr>
        <w:t xml:space="preserve">Расчетный </w:t>
      </w:r>
      <w:r w:rsidR="00A607E8" w:rsidRPr="00044560">
        <w:rPr>
          <w:sz w:val="24"/>
          <w:szCs w:val="24"/>
          <w:lang w:bidi="ru-RU"/>
        </w:rPr>
        <w:t>вес и результаты химического анализа (от контрагента);</w:t>
      </w:r>
    </w:p>
    <w:p w14:paraId="1C5195BE" w14:textId="77777777" w:rsidR="00DC320F" w:rsidRPr="00044560" w:rsidRDefault="00A607E8" w:rsidP="009E68A5">
      <w:pPr>
        <w:pStyle w:val="a5"/>
        <w:widowControl/>
        <w:numPr>
          <w:ilvl w:val="1"/>
          <w:numId w:val="3"/>
        </w:numPr>
        <w:tabs>
          <w:tab w:val="left" w:pos="426"/>
          <w:tab w:val="left" w:pos="1580"/>
        </w:tabs>
        <w:spacing w:after="120"/>
        <w:ind w:left="0" w:firstLine="0"/>
        <w:rPr>
          <w:sz w:val="24"/>
          <w:szCs w:val="24"/>
        </w:rPr>
      </w:pPr>
      <w:r w:rsidRPr="00044560">
        <w:rPr>
          <w:sz w:val="24"/>
          <w:szCs w:val="24"/>
          <w:lang w:bidi="ru-RU"/>
        </w:rPr>
        <w:t>Отгрузочные/транспортные документы (накладная/авианакладная, проформа-инвойс, если применимо);</w:t>
      </w:r>
    </w:p>
    <w:p w14:paraId="00EA663B" w14:textId="77777777" w:rsidR="00DC320F" w:rsidRPr="00044560" w:rsidRDefault="00A607E8" w:rsidP="009E68A5">
      <w:pPr>
        <w:pStyle w:val="a5"/>
        <w:widowControl/>
        <w:numPr>
          <w:ilvl w:val="1"/>
          <w:numId w:val="3"/>
        </w:numPr>
        <w:tabs>
          <w:tab w:val="left" w:pos="426"/>
          <w:tab w:val="left" w:pos="1580"/>
        </w:tabs>
        <w:spacing w:after="120"/>
        <w:ind w:left="0" w:firstLine="0"/>
        <w:rPr>
          <w:sz w:val="24"/>
          <w:szCs w:val="24"/>
        </w:rPr>
      </w:pPr>
      <w:r w:rsidRPr="00044560">
        <w:rPr>
          <w:sz w:val="24"/>
          <w:szCs w:val="24"/>
          <w:lang w:bidi="ru-RU"/>
        </w:rPr>
        <w:t>Экспортный и импортный формуляр для сделок с высоким риском, если применимо.</w:t>
      </w:r>
    </w:p>
    <w:p w14:paraId="0247664C" w14:textId="77777777" w:rsidR="00DC320F" w:rsidRPr="00044560" w:rsidRDefault="00A607E8" w:rsidP="009E68A5">
      <w:pPr>
        <w:pStyle w:val="a5"/>
        <w:widowControl/>
        <w:numPr>
          <w:ilvl w:val="0"/>
          <w:numId w:val="3"/>
        </w:numPr>
        <w:tabs>
          <w:tab w:val="left" w:pos="426"/>
          <w:tab w:val="left" w:pos="848"/>
        </w:tabs>
        <w:spacing w:after="120"/>
        <w:ind w:left="0" w:firstLine="0"/>
        <w:rPr>
          <w:sz w:val="24"/>
          <w:szCs w:val="24"/>
        </w:rPr>
      </w:pPr>
      <w:r w:rsidRPr="00044560">
        <w:rPr>
          <w:sz w:val="24"/>
          <w:szCs w:val="24"/>
          <w:lang w:bidi="ru-RU"/>
        </w:rPr>
        <w:t>Для переработанной платины/палладия:</w:t>
      </w:r>
    </w:p>
    <w:p w14:paraId="21D9802F" w14:textId="77777777" w:rsidR="00DC320F" w:rsidRPr="00044560" w:rsidRDefault="00A607E8" w:rsidP="009E68A5">
      <w:pPr>
        <w:pStyle w:val="a5"/>
        <w:widowControl/>
        <w:numPr>
          <w:ilvl w:val="1"/>
          <w:numId w:val="3"/>
        </w:numPr>
        <w:tabs>
          <w:tab w:val="left" w:pos="426"/>
          <w:tab w:val="left" w:pos="1580"/>
        </w:tabs>
        <w:spacing w:after="120"/>
        <w:ind w:left="0" w:firstLine="0"/>
        <w:rPr>
          <w:sz w:val="24"/>
          <w:szCs w:val="24"/>
        </w:rPr>
      </w:pPr>
      <w:r w:rsidRPr="00044560">
        <w:rPr>
          <w:sz w:val="24"/>
          <w:szCs w:val="24"/>
          <w:lang w:bidi="ru-RU"/>
        </w:rPr>
        <w:t>Расчетный вес (от контрагента);</w:t>
      </w:r>
    </w:p>
    <w:p w14:paraId="301753E5" w14:textId="77777777" w:rsidR="00DC320F" w:rsidRPr="00044560" w:rsidRDefault="00A607E8" w:rsidP="009E68A5">
      <w:pPr>
        <w:pStyle w:val="a5"/>
        <w:widowControl/>
        <w:numPr>
          <w:ilvl w:val="1"/>
          <w:numId w:val="3"/>
        </w:numPr>
        <w:tabs>
          <w:tab w:val="left" w:pos="426"/>
          <w:tab w:val="left" w:pos="1580"/>
        </w:tabs>
        <w:spacing w:after="120"/>
        <w:ind w:left="0" w:firstLine="0"/>
        <w:rPr>
          <w:sz w:val="24"/>
          <w:szCs w:val="24"/>
        </w:rPr>
      </w:pPr>
      <w:r w:rsidRPr="00044560">
        <w:rPr>
          <w:sz w:val="24"/>
          <w:szCs w:val="24"/>
          <w:lang w:bidi="ru-RU"/>
        </w:rPr>
        <w:t>Отгрузочные/транспортные документы (накладная/авианакладная, проформа-инвойс, если применимо);</w:t>
      </w:r>
    </w:p>
    <w:p w14:paraId="09FA5811" w14:textId="77777777" w:rsidR="00DC320F" w:rsidRPr="00044560" w:rsidRDefault="00A607E8" w:rsidP="009E68A5">
      <w:pPr>
        <w:pStyle w:val="a5"/>
        <w:widowControl/>
        <w:numPr>
          <w:ilvl w:val="1"/>
          <w:numId w:val="3"/>
        </w:numPr>
        <w:tabs>
          <w:tab w:val="left" w:pos="426"/>
          <w:tab w:val="left" w:pos="1580"/>
        </w:tabs>
        <w:spacing w:after="120"/>
        <w:ind w:left="0" w:firstLine="0"/>
        <w:rPr>
          <w:sz w:val="24"/>
          <w:szCs w:val="24"/>
        </w:rPr>
      </w:pPr>
      <w:r w:rsidRPr="00044560">
        <w:rPr>
          <w:sz w:val="24"/>
          <w:szCs w:val="24"/>
          <w:lang w:bidi="ru-RU"/>
        </w:rPr>
        <w:t>Экспортный и импортный формуляр для сделок с высоким риском, если применимо.</w:t>
      </w:r>
    </w:p>
    <w:p w14:paraId="030B295C"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удостовериться, что документы согласуются с материалами и соответствуют имеющимся у них сведениям о цепочке поставок, полученным в ходе проведенной Комплексной экспертизы. Аффинажные предприятия должны проверить соответствие полученного груза отгрузочным/транспортным документам. Необходимо изучить предпосылки для заключения несоответствующих сделок и сделок, которые представляются подозрительными, а выводы оформить в письменном виде и передать Специалисту по обеспечению нормативно-правового соответствия. До устранения несоответствий платину/палладий необходимо физически отделить и охранять в соответствии с требованиями Шага 3 данного Руководства. О таких выводах следует сообщить в соответствующие органы, если это применимо.</w:t>
      </w:r>
    </w:p>
    <w:p w14:paraId="1744C881" w14:textId="77777777" w:rsidR="00DC320F" w:rsidRPr="00044560" w:rsidRDefault="00A607E8" w:rsidP="009E68A5">
      <w:pPr>
        <w:pStyle w:val="3"/>
        <w:widowControl/>
        <w:tabs>
          <w:tab w:val="left" w:pos="426"/>
        </w:tabs>
        <w:spacing w:after="120"/>
        <w:ind w:left="0"/>
        <w:rPr>
          <w:sz w:val="24"/>
          <w:szCs w:val="24"/>
        </w:rPr>
      </w:pPr>
      <w:r w:rsidRPr="00044560">
        <w:rPr>
          <w:sz w:val="24"/>
          <w:szCs w:val="24"/>
          <w:lang w:bidi="ru-RU"/>
        </w:rPr>
        <w:t>Признание других сертификатов для демонстрации соответствия требованиям к проведению комплексной экспертизы</w:t>
      </w:r>
    </w:p>
    <w:p w14:paraId="7BE647A7"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Аффинажное предприятие может использовать следующие сертификаты для демонстрации соответствия требованиям, описанным в Шаге 2, Раздел 2 настоящего Руководства:</w:t>
      </w:r>
    </w:p>
    <w:p w14:paraId="5FFE6B0D" w14:textId="5C8047B8" w:rsidR="00DC320F" w:rsidRDefault="00A607E8" w:rsidP="009E68A5">
      <w:pPr>
        <w:pStyle w:val="a5"/>
        <w:widowControl/>
        <w:numPr>
          <w:ilvl w:val="0"/>
          <w:numId w:val="3"/>
        </w:numPr>
        <w:tabs>
          <w:tab w:val="left" w:pos="426"/>
          <w:tab w:val="left" w:pos="848"/>
        </w:tabs>
        <w:spacing w:after="120"/>
        <w:ind w:left="0" w:firstLine="0"/>
        <w:jc w:val="both"/>
        <w:rPr>
          <w:sz w:val="24"/>
          <w:szCs w:val="24"/>
        </w:rPr>
      </w:pPr>
      <w:proofErr w:type="gramStart"/>
      <w:r w:rsidRPr="00044560">
        <w:rPr>
          <w:sz w:val="24"/>
          <w:szCs w:val="24"/>
          <w:lang w:bidi="ru-RU"/>
        </w:rPr>
        <w:t>Добытый и/или Переработанный</w:t>
      </w:r>
      <w:r w:rsidR="00200AC9" w:rsidRPr="00044560">
        <w:rPr>
          <w:sz w:val="24"/>
          <w:szCs w:val="24"/>
          <w:lang w:bidi="ru-RU"/>
        </w:rPr>
        <w:t xml:space="preserve"> </w:t>
      </w:r>
      <w:r w:rsidRPr="00044560">
        <w:rPr>
          <w:sz w:val="24"/>
          <w:szCs w:val="24"/>
          <w:lang w:bidi="ru-RU"/>
        </w:rPr>
        <w:t>материал, содержащий палладий/платину, на который Организация, сертифицированная Советом по ответственной ювелирной практике, выдала Передаточный документ в отношении цепочки ответственности и обеспечения сохранности, утвержденный Советом по ответственной ювелирной практике; или</w:t>
      </w:r>
      <w:r w:rsidR="00C77D78" w:rsidRPr="00044560">
        <w:rPr>
          <w:sz w:val="24"/>
          <w:szCs w:val="24"/>
          <w:lang w:bidi="ru-RU"/>
        </w:rPr>
        <w:t xml:space="preserve"> </w:t>
      </w:r>
      <w:r w:rsidRPr="00044560">
        <w:rPr>
          <w:sz w:val="24"/>
          <w:szCs w:val="24"/>
          <w:lang w:bidi="ru-RU"/>
        </w:rPr>
        <w:t xml:space="preserve">Добытый материал, содержащий платину/палладий, когда выдается </w:t>
      </w:r>
      <w:r w:rsidRPr="00044560">
        <w:rPr>
          <w:sz w:val="24"/>
          <w:szCs w:val="24"/>
          <w:lang w:bidi="ru-RU"/>
        </w:rPr>
        <w:lastRenderedPageBreak/>
        <w:t>Декларация руководства о соответствии, которая сопровождает поставки платины/палладия в течение определенного периода.</w:t>
      </w:r>
      <w:proofErr w:type="gramEnd"/>
    </w:p>
    <w:p w14:paraId="631FF944" w14:textId="77777777" w:rsidR="00044560" w:rsidRPr="00044560" w:rsidRDefault="00044560" w:rsidP="00044560">
      <w:pPr>
        <w:pStyle w:val="a5"/>
        <w:widowControl/>
        <w:tabs>
          <w:tab w:val="left" w:pos="426"/>
          <w:tab w:val="left" w:pos="848"/>
        </w:tabs>
        <w:spacing w:after="120"/>
        <w:ind w:left="0" w:firstLine="0"/>
        <w:jc w:val="both"/>
        <w:rPr>
          <w:sz w:val="24"/>
          <w:szCs w:val="24"/>
        </w:rPr>
      </w:pPr>
    </w:p>
    <w:p w14:paraId="1DDB4546" w14:textId="77777777" w:rsidR="00DC320F" w:rsidRPr="00044560" w:rsidRDefault="00A607E8" w:rsidP="009E68A5">
      <w:pPr>
        <w:pStyle w:val="2"/>
        <w:widowControl/>
        <w:numPr>
          <w:ilvl w:val="0"/>
          <w:numId w:val="4"/>
        </w:numPr>
        <w:tabs>
          <w:tab w:val="left" w:pos="426"/>
          <w:tab w:val="left" w:pos="464"/>
        </w:tabs>
        <w:spacing w:after="120"/>
        <w:ind w:left="0" w:firstLine="0"/>
        <w:rPr>
          <w:sz w:val="24"/>
          <w:szCs w:val="24"/>
        </w:rPr>
      </w:pPr>
      <w:r w:rsidRPr="00044560">
        <w:rPr>
          <w:sz w:val="24"/>
          <w:szCs w:val="24"/>
          <w:lang w:bidi="ru-RU"/>
        </w:rPr>
        <w:t>Уведомление назначенного Высшего руководства о результатах оценки рисков</w:t>
      </w:r>
    </w:p>
    <w:p w14:paraId="315D7863"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Высшее руководство сохраняет окончательный контроль и ответственность за цепочку поставок платины/палладия. Высшее руководство производит тщательный подбор Специалиста по обеспечению нормативно-правового соответствия, предоставляет ему необходимые средства для выполнения его обязанностей и контролирует его работу.</w:t>
      </w:r>
    </w:p>
    <w:p w14:paraId="594F9C9D"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 xml:space="preserve">Высшее руководство утверждает каждую новую цепочку поставок, оцениваемую как </w:t>
      </w:r>
      <w:proofErr w:type="spellStart"/>
      <w:r w:rsidRPr="00044560">
        <w:rPr>
          <w:sz w:val="24"/>
          <w:szCs w:val="24"/>
          <w:lang w:bidi="ru-RU"/>
        </w:rPr>
        <w:t>высокорискованную</w:t>
      </w:r>
      <w:proofErr w:type="spellEnd"/>
      <w:r w:rsidRPr="00044560">
        <w:rPr>
          <w:sz w:val="24"/>
          <w:szCs w:val="24"/>
          <w:lang w:bidi="ru-RU"/>
        </w:rPr>
        <w:t>, и ежегодно принимает решение о продолжении или прекращении таких деловых отношений.</w:t>
      </w:r>
    </w:p>
    <w:p w14:paraId="5E381F9B" w14:textId="77777777" w:rsidR="00DC320F" w:rsidRPr="000D133D" w:rsidRDefault="00DC320F" w:rsidP="000D133D">
      <w:pPr>
        <w:pStyle w:val="a3"/>
        <w:widowControl/>
        <w:tabs>
          <w:tab w:val="left" w:pos="426"/>
        </w:tabs>
        <w:spacing w:before="100" w:beforeAutospacing="1" w:after="100" w:afterAutospacing="1" w:line="320" w:lineRule="exact"/>
        <w:jc w:val="both"/>
        <w:rPr>
          <w:sz w:val="24"/>
          <w:lang w:bidi="ru-RU"/>
        </w:rPr>
        <w:sectPr w:rsidR="00DC320F" w:rsidRPr="000D133D" w:rsidSect="00200AC9">
          <w:headerReference w:type="default" r:id="rId9"/>
          <w:footerReference w:type="default" r:id="rId10"/>
          <w:pgSz w:w="11900" w:h="16840" w:code="9"/>
          <w:pgMar w:top="851" w:right="851" w:bottom="851" w:left="1134" w:header="995" w:footer="1018" w:gutter="0"/>
          <w:cols w:space="720"/>
        </w:sectPr>
      </w:pPr>
    </w:p>
    <w:p w14:paraId="4C65F0BC" w14:textId="250042A2"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lastRenderedPageBreak/>
        <w:t xml:space="preserve">ШАГ 3 </w:t>
      </w:r>
      <w:r w:rsidR="00C77D78" w:rsidRPr="00FD642B">
        <w:rPr>
          <w:rFonts w:eastAsia="Franklin Gothic Book"/>
          <w:bCs w:val="0"/>
          <w:sz w:val="32"/>
          <w:szCs w:val="32"/>
        </w:rPr>
        <w:t xml:space="preserve">– </w:t>
      </w:r>
      <w:r w:rsidRPr="00FD642B">
        <w:rPr>
          <w:rFonts w:eastAsia="Franklin Gothic Book"/>
          <w:bCs w:val="0"/>
          <w:sz w:val="32"/>
          <w:szCs w:val="32"/>
        </w:rPr>
        <w:t>Разработка и внедрение стратегии управления для реагирования на выявленные риски</w:t>
      </w:r>
    </w:p>
    <w:p w14:paraId="5EC046C1" w14:textId="16091706" w:rsidR="00DC320F"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 xml:space="preserve">Цель данного раздела </w:t>
      </w:r>
      <w:r w:rsidR="00C77D78" w:rsidRPr="00044560">
        <w:rPr>
          <w:sz w:val="24"/>
          <w:lang w:bidi="ru-RU"/>
        </w:rPr>
        <w:t xml:space="preserve">— </w:t>
      </w:r>
      <w:r w:rsidRPr="00044560">
        <w:rPr>
          <w:sz w:val="24"/>
          <w:lang w:bidi="ru-RU"/>
        </w:rPr>
        <w:t>оценить выявленные риски и среагировать на них с целью предотвращения или смягчения неблагоприятного воздействия. При необходимости, Аффинажным предприятиям следует стремиться к расширению участия поставщиков и собственных систем сбора информации, а также усилению прозрачности.</w:t>
      </w:r>
    </w:p>
    <w:p w14:paraId="70891F0D" w14:textId="77777777" w:rsidR="00044560" w:rsidRPr="00044560" w:rsidRDefault="00044560" w:rsidP="000D133D">
      <w:pPr>
        <w:pStyle w:val="a3"/>
        <w:widowControl/>
        <w:tabs>
          <w:tab w:val="left" w:pos="426"/>
        </w:tabs>
        <w:spacing w:before="100" w:beforeAutospacing="1" w:after="100" w:afterAutospacing="1" w:line="320" w:lineRule="exact"/>
        <w:jc w:val="both"/>
        <w:rPr>
          <w:sz w:val="24"/>
          <w:lang w:bidi="ru-RU"/>
        </w:rPr>
      </w:pPr>
    </w:p>
    <w:p w14:paraId="4300FE1E" w14:textId="77777777" w:rsidR="00DC320F" w:rsidRPr="00044560" w:rsidRDefault="00A607E8" w:rsidP="009E68A5">
      <w:pPr>
        <w:pStyle w:val="2"/>
        <w:widowControl/>
        <w:numPr>
          <w:ilvl w:val="0"/>
          <w:numId w:val="2"/>
        </w:numPr>
        <w:tabs>
          <w:tab w:val="left" w:pos="426"/>
        </w:tabs>
        <w:spacing w:after="120"/>
        <w:ind w:left="0" w:firstLine="0"/>
        <w:rPr>
          <w:sz w:val="24"/>
        </w:rPr>
      </w:pPr>
      <w:r w:rsidRPr="00044560">
        <w:rPr>
          <w:sz w:val="24"/>
          <w:lang w:bidi="ru-RU"/>
        </w:rPr>
        <w:t>Уведомление назначенного Высшего руководства о результатах</w:t>
      </w:r>
    </w:p>
    <w:p w14:paraId="5D748317" w14:textId="77777777" w:rsidR="00DC320F"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При необходимости собранная информация, а также фактические и потенциальные риски, выявленные в ходе оценки рисков по цепочке поставок, должны быть доведены до сведения Высшего руководства.</w:t>
      </w:r>
    </w:p>
    <w:p w14:paraId="5CAA98DE" w14:textId="77777777" w:rsidR="00044560" w:rsidRPr="00044560" w:rsidRDefault="00044560" w:rsidP="000D133D">
      <w:pPr>
        <w:pStyle w:val="a3"/>
        <w:widowControl/>
        <w:tabs>
          <w:tab w:val="left" w:pos="426"/>
        </w:tabs>
        <w:spacing w:before="100" w:beforeAutospacing="1" w:after="100" w:afterAutospacing="1" w:line="320" w:lineRule="exact"/>
        <w:jc w:val="both"/>
        <w:rPr>
          <w:sz w:val="24"/>
          <w:lang w:bidi="ru-RU"/>
        </w:rPr>
      </w:pPr>
    </w:p>
    <w:p w14:paraId="7D5188A5" w14:textId="77777777" w:rsidR="00DC320F" w:rsidRPr="00044560" w:rsidRDefault="00A607E8" w:rsidP="009E68A5">
      <w:pPr>
        <w:pStyle w:val="2"/>
        <w:widowControl/>
        <w:numPr>
          <w:ilvl w:val="0"/>
          <w:numId w:val="2"/>
        </w:numPr>
        <w:tabs>
          <w:tab w:val="left" w:pos="426"/>
          <w:tab w:val="left" w:pos="452"/>
        </w:tabs>
        <w:spacing w:after="120"/>
        <w:ind w:left="0" w:firstLine="0"/>
        <w:rPr>
          <w:sz w:val="24"/>
        </w:rPr>
      </w:pPr>
      <w:r w:rsidRPr="00044560">
        <w:rPr>
          <w:sz w:val="24"/>
          <w:lang w:bidi="ru-RU"/>
        </w:rPr>
        <w:t>Разработка стратегии управления выявленными рисками путем (i) снижения риска при продолжении торговли, (</w:t>
      </w:r>
      <w:proofErr w:type="spellStart"/>
      <w:r w:rsidRPr="00044560">
        <w:rPr>
          <w:sz w:val="24"/>
          <w:lang w:bidi="ru-RU"/>
        </w:rPr>
        <w:t>ii</w:t>
      </w:r>
      <w:proofErr w:type="spellEnd"/>
      <w:r w:rsidRPr="00044560">
        <w:rPr>
          <w:sz w:val="24"/>
          <w:lang w:bidi="ru-RU"/>
        </w:rPr>
        <w:t>) снижения риска при приостановке торговли или (</w:t>
      </w:r>
      <w:proofErr w:type="spellStart"/>
      <w:r w:rsidRPr="00044560">
        <w:rPr>
          <w:sz w:val="24"/>
          <w:lang w:bidi="ru-RU"/>
        </w:rPr>
        <w:t>iii</w:t>
      </w:r>
      <w:proofErr w:type="spellEnd"/>
      <w:r w:rsidRPr="00044560">
        <w:rPr>
          <w:sz w:val="24"/>
          <w:lang w:bidi="ru-RU"/>
        </w:rPr>
        <w:t>) непринятия риска во внимание</w:t>
      </w:r>
    </w:p>
    <w:p w14:paraId="1CE358D1"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proofErr w:type="gramStart"/>
      <w:r w:rsidRPr="00044560">
        <w:rPr>
          <w:sz w:val="24"/>
          <w:lang w:bidi="ru-RU"/>
        </w:rPr>
        <w:t>Если в ходе Комплексной экспертизы цепочки поставок платины/палладия будет установлен факт отмывания денег, финансирования терроризма, серьезного нарушения прав человека, оказания непосредственной или косвенной поддержки незаконному негосударственному вооруженному формированию или намеренного введения в заблуждение насчет происхождения полезных ископаемых, или если вероятность этого считается слишком высокой, Аффинажное предприятие должно немедленно прекратить обогащение платины/палладия из этого источника и уведомить об этом</w:t>
      </w:r>
      <w:proofErr w:type="gramEnd"/>
      <w:r w:rsidRPr="00044560">
        <w:rPr>
          <w:sz w:val="24"/>
          <w:lang w:bidi="ru-RU"/>
        </w:rPr>
        <w:t xml:space="preserve"> соответствующие органы (при необходимости). При этом в случае оказания косвенной поддержки негосударственному вооруженному формированию путем вымогательства у добросовестных старателей или других участников цепочки поставок, Аффинажные предприятия могут продолжить обогащение платины/палладия, поступающих из этого источника, при условии, что они примут стратегию улучшения.</w:t>
      </w:r>
    </w:p>
    <w:p w14:paraId="31E2C37F" w14:textId="77777777" w:rsidR="00DC320F" w:rsidRDefault="00A607E8" w:rsidP="000D133D">
      <w:pPr>
        <w:pStyle w:val="a3"/>
        <w:widowControl/>
        <w:tabs>
          <w:tab w:val="left" w:pos="426"/>
        </w:tabs>
        <w:spacing w:before="100" w:beforeAutospacing="1" w:after="100" w:afterAutospacing="1" w:line="320" w:lineRule="exact"/>
        <w:jc w:val="both"/>
        <w:rPr>
          <w:sz w:val="24"/>
          <w:lang w:bidi="ru-RU"/>
        </w:rPr>
      </w:pPr>
      <w:proofErr w:type="gramStart"/>
      <w:r w:rsidRPr="00044560">
        <w:rPr>
          <w:sz w:val="24"/>
          <w:lang w:bidi="ru-RU"/>
        </w:rPr>
        <w:t>Если результат проведенной Комплексной экспертизы не является абсолютно удовлетворительным, или если в ходе ее проведения будет установлен факт оказания непосредственной или косвенной поддержки незаконным государственным или частным силовым службам, взяточничества, намеренного введения в заблуждение насчет происхождения полезных ископаемых или неуплаты налогов, сборов и роялти, причитающихся правительству, но оцениваемая компания в цепочке поставок прилагает при этом разумные и добросовестные усилия, Аффинажные</w:t>
      </w:r>
      <w:proofErr w:type="gramEnd"/>
      <w:r w:rsidRPr="00044560">
        <w:rPr>
          <w:sz w:val="24"/>
          <w:lang w:bidi="ru-RU"/>
        </w:rPr>
        <w:t xml:space="preserve"> предприятия могут продолжить обогащать платину/палладий, полученные из этого источника, при условии принятия (в разумные сроки) стратегии улучшения, разработанной с участием поставщика и четко прописывающей цели по исполнению.</w:t>
      </w:r>
    </w:p>
    <w:p w14:paraId="405DA0F4" w14:textId="75C4F04E" w:rsidR="00DC320F" w:rsidRPr="00044560" w:rsidRDefault="00A607E8" w:rsidP="009E68A5">
      <w:pPr>
        <w:pStyle w:val="2"/>
        <w:widowControl/>
        <w:numPr>
          <w:ilvl w:val="0"/>
          <w:numId w:val="2"/>
        </w:numPr>
        <w:tabs>
          <w:tab w:val="left" w:pos="426"/>
        </w:tabs>
        <w:spacing w:after="120"/>
        <w:ind w:left="0" w:firstLine="0"/>
        <w:rPr>
          <w:sz w:val="24"/>
        </w:rPr>
      </w:pPr>
      <w:r w:rsidRPr="00044560">
        <w:rPr>
          <w:sz w:val="24"/>
          <w:lang w:bidi="ru-RU"/>
        </w:rPr>
        <w:lastRenderedPageBreak/>
        <w:t>При использовании стратегии управления по снижению риска, она должна включать измеримые шаги, которые необходимо предпринять и выполнить, мониторинг исполнения, периодическую переоценку рисков и предоставление регулярной отчетности назначенному высшему руководству</w:t>
      </w:r>
    </w:p>
    <w:p w14:paraId="5A298596" w14:textId="1F43EA35"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Принципы снижения рисков, которые легли в основу данного раздела, ориентированы на добросовестные усилия по внесению значимых улучшений в цепочку поставок, при продолжении Аффинажными предприятиями своих отношений с Поставщиками. Аудиторы должны рассмотреть методы снижения риска для ситуаций, в которых Аффинажное предприятие продолжает торговать, и/или методы снижения риска при приостановлении торговли, и Аффинажные предприятия обязаны представлять системы для проверки даже в тех случаях, когда Аффинажное предприятие утверждает, что в них не было необходимости, в течение периода аудита. Во избежание сомнений, «снижение риска» или отказ от деловых отношений с клиентами, которые демонстрируют очевидный риск, не является причиной того, что Аффинажное предприятие не может продемонстрировать эффективную</w:t>
      </w:r>
      <w:r w:rsidR="00813F09" w:rsidRPr="00044560">
        <w:rPr>
          <w:sz w:val="24"/>
          <w:lang w:bidi="ru-RU"/>
        </w:rPr>
        <w:t xml:space="preserve"> и</w:t>
      </w:r>
      <w:r w:rsidRPr="00044560">
        <w:rPr>
          <w:sz w:val="24"/>
          <w:lang w:bidi="ru-RU"/>
        </w:rPr>
        <w:t xml:space="preserve"> </w:t>
      </w:r>
      <w:r w:rsidR="00813F09" w:rsidRPr="00044560">
        <w:rPr>
          <w:sz w:val="24"/>
          <w:lang w:bidi="ru-RU"/>
        </w:rPr>
        <w:t xml:space="preserve">поддающуюся проверке </w:t>
      </w:r>
      <w:r w:rsidRPr="00044560">
        <w:rPr>
          <w:sz w:val="24"/>
          <w:lang w:bidi="ru-RU"/>
        </w:rPr>
        <w:t>стратегию снижения риска.</w:t>
      </w:r>
    </w:p>
    <w:p w14:paraId="661132EE"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Стратегией улучшения, описанной в Разделе 2 выше, должны быть предусмотрены четкие цели по исполнению, включая качественные и/или количественные показатели для измерения улучшений. Необходимо определить значительные и измеримые показатели улучшения в устранении риска в течение шести месяцев с момента принятия плана управления рисками. Затем определяются дополнительные меры в пересмотренной стратегии улучшения с учетом прогресса, достигнутого в течение первых шести месяцев. Если же такое измеримое улучшение не было достигнуто за шесть месяцев, Аффинажным предприятиям следует приостановить отношения, пока поставщик не отреагирует на план улучшения.</w:t>
      </w:r>
    </w:p>
    <w:p w14:paraId="580FF437" w14:textId="1C84E716"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Необходимо осуществлять постоянный мониторинг планов по снижению рисков и их эффективности с регулярным предоставлением отчетов высшему руководству. Если же попытки по снижению рисков не увенчались успехом в течение шести месяцев с момента принятия плана управления рисками, Аффинажным предприятиям следует рассмотреть возможность приостановления или прекращения работы с поставщиком.</w:t>
      </w:r>
    </w:p>
    <w:p w14:paraId="67A16766"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При необходимости, Аффинажные предприятия могут проконсультироваться и/или отслеживать прогресс с заинтересованными сторонами по плану снижения рисков, а также использовать рычаги воздействия на участников цепочек поставок, которые могут поспособствовать снижению рисков.</w:t>
      </w:r>
    </w:p>
    <w:p w14:paraId="0229D101"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При необходимости, Аффинажные предприятия могут проконсультироваться с соответствующими заинтересованными сторонами (например, местные или центральные органы власти, добывающие компании, международные организации или организация гражданского общества, и затронутые третьи лица). Аффинажные предприятия также могут выиграть от создания или поддержки сетей мониторинга на местном уровне для содействия мониторингу процесса принятия мер по снижению рисков.</w:t>
      </w:r>
    </w:p>
    <w:p w14:paraId="57FC3A1B"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lastRenderedPageBreak/>
        <w:t>После окончания срока необходимо провести оценку с целью определить, были ли меры приняты должным образом. О результатах такой оценки необходимо уведомить Высшее руководство, которое примет решение о продолжении, прекращении или приостановлении работы с конкретной цепочкой поставок. Процесс принятия решения должен быть задокументирован.</w:t>
      </w:r>
    </w:p>
    <w:p w14:paraId="024E0BA8" w14:textId="77777777" w:rsidR="00DC320F" w:rsidRPr="000D133D" w:rsidRDefault="00DC320F" w:rsidP="000D133D">
      <w:pPr>
        <w:pStyle w:val="a3"/>
        <w:widowControl/>
        <w:tabs>
          <w:tab w:val="left" w:pos="426"/>
        </w:tabs>
        <w:spacing w:before="100" w:beforeAutospacing="1" w:after="100" w:afterAutospacing="1" w:line="320" w:lineRule="exact"/>
        <w:jc w:val="both"/>
        <w:rPr>
          <w:sz w:val="24"/>
          <w:lang w:bidi="ru-RU"/>
        </w:rPr>
        <w:sectPr w:rsidR="00DC320F" w:rsidRPr="000D133D" w:rsidSect="00200AC9">
          <w:pgSz w:w="11900" w:h="16840" w:code="9"/>
          <w:pgMar w:top="851" w:right="851" w:bottom="851" w:left="1134" w:header="995" w:footer="1018" w:gutter="0"/>
          <w:cols w:space="720"/>
        </w:sectPr>
      </w:pPr>
    </w:p>
    <w:p w14:paraId="25920308" w14:textId="0B7CAF20"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lastRenderedPageBreak/>
        <w:t xml:space="preserve">ШАГ 4 </w:t>
      </w:r>
      <w:r w:rsidR="00813F09" w:rsidRPr="00FD642B">
        <w:rPr>
          <w:rFonts w:eastAsia="Franklin Gothic Book"/>
          <w:bCs w:val="0"/>
          <w:sz w:val="32"/>
          <w:szCs w:val="32"/>
        </w:rPr>
        <w:t xml:space="preserve">– </w:t>
      </w:r>
      <w:r w:rsidRPr="00FD642B">
        <w:rPr>
          <w:rFonts w:eastAsia="Franklin Gothic Book"/>
          <w:bCs w:val="0"/>
          <w:sz w:val="32"/>
          <w:szCs w:val="32"/>
        </w:rPr>
        <w:t>Организация независимого аудита третьей стороной в отношении Комплексной экспертизы цепочки поставок</w:t>
      </w:r>
    </w:p>
    <w:p w14:paraId="0949BD37"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Предполагается, что если деятельность аффинажного предприятия выходит за рамки одного металла, охваченного Руководством (платина/палладий), то будет проведен только один аудит. Объем проверяемой деятельности согласовывается заранее между аффинажным предприятием и аудитором и должен охватывать все применимые цепочки поставок металлов (платина/палладий) и связанные с ними мероприятия по комплексной экспертизе.</w:t>
      </w:r>
    </w:p>
    <w:p w14:paraId="4CBD42DD" w14:textId="77777777" w:rsidR="00DC320F" w:rsidRPr="00044560" w:rsidRDefault="00A607E8" w:rsidP="009E68A5">
      <w:pPr>
        <w:pStyle w:val="3"/>
        <w:widowControl/>
        <w:tabs>
          <w:tab w:val="left" w:pos="426"/>
        </w:tabs>
        <w:spacing w:after="120"/>
        <w:ind w:left="0"/>
        <w:rPr>
          <w:sz w:val="24"/>
        </w:rPr>
      </w:pPr>
      <w:r w:rsidRPr="00044560">
        <w:rPr>
          <w:sz w:val="24"/>
          <w:lang w:bidi="ru-RU"/>
        </w:rPr>
        <w:t>Требования к аудиторам</w:t>
      </w:r>
    </w:p>
    <w:p w14:paraId="0762F63B"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Аффинажные предприятия должны проходить аудит систем и практики управления цепочкой поставок платины/палладия, проводимый независимыми и компетентными третьими сторонами из списка Утвержденных аудиторов, с которым можно ознакомиться на веб-сайте Лондонского рынка платины и палладия (www.lppm.com).</w:t>
      </w:r>
    </w:p>
    <w:p w14:paraId="09B650FE" w14:textId="77777777" w:rsidR="00DC320F" w:rsidRPr="00044560" w:rsidRDefault="00A607E8" w:rsidP="009E68A5">
      <w:pPr>
        <w:pStyle w:val="3"/>
        <w:widowControl/>
        <w:tabs>
          <w:tab w:val="left" w:pos="426"/>
        </w:tabs>
        <w:spacing w:after="120"/>
        <w:ind w:left="0"/>
        <w:jc w:val="left"/>
        <w:rPr>
          <w:sz w:val="24"/>
        </w:rPr>
      </w:pPr>
      <w:r w:rsidRPr="00044560">
        <w:rPr>
          <w:sz w:val="24"/>
          <w:lang w:bidi="ru-RU"/>
        </w:rPr>
        <w:t>Стандарты аудита</w:t>
      </w:r>
    </w:p>
    <w:p w14:paraId="71B81C47" w14:textId="6C16587B"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Комитет по вопросам ответственного выбора поставщиков Лондонского рынка платины и палладия</w:t>
      </w:r>
      <w:r w:rsidR="00200AC9" w:rsidRPr="00044560">
        <w:rPr>
          <w:sz w:val="24"/>
          <w:lang w:bidi="ru-RU"/>
        </w:rPr>
        <w:t xml:space="preserve"> </w:t>
      </w:r>
      <w:r w:rsidRPr="00044560">
        <w:rPr>
          <w:sz w:val="24"/>
          <w:lang w:bidi="ru-RU"/>
        </w:rPr>
        <w:t>будет утверждать только систему ISAE 3000.</w:t>
      </w:r>
    </w:p>
    <w:p w14:paraId="0D1313F5" w14:textId="77777777" w:rsidR="00DC320F" w:rsidRPr="00044560" w:rsidRDefault="00A607E8" w:rsidP="009E68A5">
      <w:pPr>
        <w:pStyle w:val="3"/>
        <w:widowControl/>
        <w:tabs>
          <w:tab w:val="left" w:pos="426"/>
        </w:tabs>
        <w:spacing w:after="120"/>
        <w:ind w:left="0"/>
        <w:jc w:val="left"/>
        <w:rPr>
          <w:sz w:val="24"/>
        </w:rPr>
      </w:pPr>
      <w:r w:rsidRPr="00044560">
        <w:rPr>
          <w:sz w:val="24"/>
          <w:lang w:bidi="ru-RU"/>
        </w:rPr>
        <w:t>Процедуры аудита</w:t>
      </w:r>
    </w:p>
    <w:p w14:paraId="5B2566F2"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При выполнении заданий по подтверждению достоверности информации, аудиторы должны применять ISAE 3000 и сверяться с Руководством по аудиту третьей стороной, особенно с теми разделами, которые содержат дополнительные указания по применению стандарта ISAE 3000. Аудиторы подтверждают достоверность информации в Отчете о соблюдении Аффинажным предприятием требований (см. Шаг 5).</w:t>
      </w:r>
    </w:p>
    <w:p w14:paraId="0D75F73A" w14:textId="77777777" w:rsidR="00DC320F" w:rsidRPr="00044560" w:rsidRDefault="00A607E8" w:rsidP="009E68A5">
      <w:pPr>
        <w:widowControl/>
        <w:tabs>
          <w:tab w:val="left" w:pos="426"/>
        </w:tabs>
        <w:spacing w:after="120"/>
        <w:jc w:val="both"/>
        <w:rPr>
          <w:b/>
          <w:i/>
          <w:sz w:val="24"/>
        </w:rPr>
      </w:pPr>
      <w:r w:rsidRPr="00044560">
        <w:rPr>
          <w:b/>
          <w:i/>
          <w:sz w:val="24"/>
          <w:lang w:bidi="ru-RU"/>
        </w:rPr>
        <w:t>Аудиторский отчет</w:t>
      </w:r>
    </w:p>
    <w:p w14:paraId="12D85717" w14:textId="77777777" w:rsidR="00DC320F" w:rsidRPr="00044560" w:rsidRDefault="00A607E8" w:rsidP="009E68A5">
      <w:pPr>
        <w:pStyle w:val="2"/>
        <w:widowControl/>
        <w:tabs>
          <w:tab w:val="left" w:pos="426"/>
        </w:tabs>
        <w:spacing w:after="120"/>
        <w:ind w:left="0" w:firstLine="0"/>
        <w:jc w:val="both"/>
        <w:rPr>
          <w:sz w:val="24"/>
        </w:rPr>
      </w:pPr>
      <w:r w:rsidRPr="00044560">
        <w:rPr>
          <w:sz w:val="24"/>
          <w:lang w:bidi="ru-RU"/>
        </w:rPr>
        <w:t>Аудит по стандарту ISAE 3000:</w:t>
      </w:r>
    </w:p>
    <w:p w14:paraId="46907B29"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rPr>
      </w:pPr>
      <w:r w:rsidRPr="00044560">
        <w:rPr>
          <w:sz w:val="24"/>
          <w:lang w:bidi="ru-RU"/>
        </w:rPr>
        <w:t>Подтверждение профессиональной квалификац</w:t>
      </w:r>
      <w:proofErr w:type="gramStart"/>
      <w:r w:rsidRPr="00044560">
        <w:rPr>
          <w:sz w:val="24"/>
          <w:lang w:bidi="ru-RU"/>
        </w:rPr>
        <w:t>ии ау</w:t>
      </w:r>
      <w:proofErr w:type="gramEnd"/>
      <w:r w:rsidRPr="00044560">
        <w:rPr>
          <w:sz w:val="24"/>
          <w:lang w:bidi="ru-RU"/>
        </w:rPr>
        <w:t>дитора;</w:t>
      </w:r>
    </w:p>
    <w:p w14:paraId="2FD1A0E2"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rPr>
      </w:pPr>
      <w:r w:rsidRPr="00044560">
        <w:rPr>
          <w:sz w:val="24"/>
          <w:lang w:bidi="ru-RU"/>
        </w:rPr>
        <w:t>Подтверждение независимости аудитора;</w:t>
      </w:r>
    </w:p>
    <w:p w14:paraId="1815DD1D"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rPr>
      </w:pPr>
      <w:r w:rsidRPr="00044560">
        <w:rPr>
          <w:sz w:val="24"/>
          <w:lang w:bidi="ru-RU"/>
        </w:rPr>
        <w:t>Применяемые стандарты аудита;</w:t>
      </w:r>
    </w:p>
    <w:p w14:paraId="19D0614D"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rPr>
      </w:pPr>
      <w:r w:rsidRPr="00044560">
        <w:rPr>
          <w:sz w:val="24"/>
          <w:lang w:bidi="ru-RU"/>
        </w:rPr>
        <w:t>Аудиторская оценка в Отчете о соблюдении требований Аффинажным предприятием;</w:t>
      </w:r>
    </w:p>
    <w:p w14:paraId="6A31908D"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rPr>
      </w:pPr>
      <w:r w:rsidRPr="00044560">
        <w:rPr>
          <w:spacing w:val="-1"/>
          <w:sz w:val="24"/>
          <w:lang w:bidi="ru-RU"/>
        </w:rPr>
        <w:t xml:space="preserve">Приложение, в котором перечислены страны происхождения платины/палладия (как добытой, так и переработанной), и содержание драгоценного металла (в </w:t>
      </w:r>
      <w:proofErr w:type="gramStart"/>
      <w:r w:rsidRPr="00044560">
        <w:rPr>
          <w:spacing w:val="-1"/>
          <w:sz w:val="24"/>
          <w:lang w:bidi="ru-RU"/>
        </w:rPr>
        <w:t>кг</w:t>
      </w:r>
      <w:proofErr w:type="gramEnd"/>
      <w:r w:rsidRPr="00044560">
        <w:rPr>
          <w:spacing w:val="-1"/>
          <w:sz w:val="24"/>
          <w:lang w:bidi="ru-RU"/>
        </w:rPr>
        <w:t>), полученного из каждой страны, за период оценки.</w:t>
      </w:r>
    </w:p>
    <w:p w14:paraId="6C059DE9"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 xml:space="preserve">Кроме того, аудиторы должны предоставить Аффинажному предприятию рекомендации по совершенствованию его </w:t>
      </w:r>
      <w:proofErr w:type="gramStart"/>
      <w:r w:rsidRPr="00044560">
        <w:rPr>
          <w:sz w:val="24"/>
          <w:lang w:bidi="ru-RU"/>
        </w:rPr>
        <w:t>методов организации цепочки поставок платины/палладия</w:t>
      </w:r>
      <w:proofErr w:type="gramEnd"/>
      <w:r w:rsidRPr="00044560">
        <w:rPr>
          <w:sz w:val="24"/>
          <w:lang w:bidi="ru-RU"/>
        </w:rPr>
        <w:t>. Такие рекомендации могут быть вынесены в отдельный отчет.</w:t>
      </w:r>
    </w:p>
    <w:p w14:paraId="2E35B984" w14:textId="22CA5726"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lastRenderedPageBreak/>
        <w:t>Независимо от выбранного подхода к аудиту третьей стороной, при наличии несоответствий со средним риском, высоким риском или недопустимых соответствий и/или невыполнении Аффинажным предприятием одного или нескольких требований, изложенных в Шагах 1-5 данного Руководства по ответственной работе с платиной/палладием, Аффинажные предприятия также предоставляют</w:t>
      </w:r>
      <w:r w:rsidR="00200AC9" w:rsidRPr="00044560">
        <w:rPr>
          <w:sz w:val="24"/>
          <w:lang w:bidi="ru-RU"/>
        </w:rPr>
        <w:t xml:space="preserve"> </w:t>
      </w:r>
      <w:r w:rsidRPr="00044560">
        <w:rPr>
          <w:sz w:val="24"/>
          <w:lang w:bidi="ru-RU"/>
        </w:rPr>
        <w:t>План корректирующих действий. О таком плане корректирующих действий следует сообщить.</w:t>
      </w:r>
    </w:p>
    <w:p w14:paraId="7BA54A5B"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План корректирующих действий Аффинажного предприятия должен включать (по каждому выявленному несоответствию со средним риском, с высоким риском и по каждому недопустимому несоответствию):</w:t>
      </w:r>
    </w:p>
    <w:p w14:paraId="37DB4A0E"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Описание проблемы;</w:t>
      </w:r>
    </w:p>
    <w:p w14:paraId="72B4DDD7"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Ссылку на соответствующий раздел Руководства по ответственной работе с платиной/палладием;</w:t>
      </w:r>
    </w:p>
    <w:p w14:paraId="1FAF6A62"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Присвоенный рейтинг риска несоответствия;</w:t>
      </w:r>
    </w:p>
    <w:p w14:paraId="2790ED06"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Корректирующие действия, которые должны быть предприняты для каждого выявленного несоответствия;</w:t>
      </w:r>
    </w:p>
    <w:p w14:paraId="7DE1B43A"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 xml:space="preserve">Сроки выполнения корректирующих действий для каждого выявленного несоответствия; </w:t>
      </w:r>
    </w:p>
    <w:p w14:paraId="56CC05FC"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Работник Аффинажного предприятия, ответственный за выполнение каждого корректирующего действия.</w:t>
      </w:r>
    </w:p>
    <w:p w14:paraId="052F690D" w14:textId="77777777" w:rsidR="00DC320F" w:rsidRPr="00044560" w:rsidRDefault="00A607E8" w:rsidP="009E68A5">
      <w:pPr>
        <w:pStyle w:val="a3"/>
        <w:widowControl/>
        <w:tabs>
          <w:tab w:val="left" w:pos="426"/>
        </w:tabs>
        <w:spacing w:after="120"/>
        <w:rPr>
          <w:sz w:val="24"/>
        </w:rPr>
      </w:pPr>
      <w:r w:rsidRPr="00044560">
        <w:rPr>
          <w:sz w:val="24"/>
          <w:lang w:bidi="ru-RU"/>
        </w:rPr>
        <w:t>Аудиторы должны подготовить Отчет руководства, который включает, по меньшей мере:</w:t>
      </w:r>
    </w:p>
    <w:p w14:paraId="041728BB"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Отчетный период;</w:t>
      </w:r>
    </w:p>
    <w:p w14:paraId="0782496E"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Объем аудита;</w:t>
      </w:r>
    </w:p>
    <w:p w14:paraId="2C47BCFB"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Стандарт аудита и уровень подтверждения достоверности информации;</w:t>
      </w:r>
    </w:p>
    <w:p w14:paraId="5729AF9D"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Описание членов группы аудиторов;</w:t>
      </w:r>
    </w:p>
    <w:p w14:paraId="75431058"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Квалификация и независимость членов группы аудиторов;</w:t>
      </w:r>
    </w:p>
    <w:p w14:paraId="28D6F8E8"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Дата проведения аудита;</w:t>
      </w:r>
    </w:p>
    <w:p w14:paraId="5A179659"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Количество человеко-дней, требуемое для проведения аудита;</w:t>
      </w:r>
    </w:p>
    <w:p w14:paraId="55EFCBC4"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Краткое изложение процедур подтверждения достоверности информации;</w:t>
      </w:r>
    </w:p>
    <w:p w14:paraId="6B690C92"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Наблюдения, выводы и рекомендации по улучшению в рамках процедур подтверждения достоверности информации;</w:t>
      </w:r>
    </w:p>
    <w:p w14:paraId="38142C3C"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Описание отклонения от соответствия;</w:t>
      </w:r>
    </w:p>
    <w:p w14:paraId="78F1C28D" w14:textId="77777777" w:rsidR="00DC320F" w:rsidRPr="00044560" w:rsidRDefault="00A607E8" w:rsidP="009E68A5">
      <w:pPr>
        <w:pStyle w:val="a5"/>
        <w:widowControl/>
        <w:numPr>
          <w:ilvl w:val="1"/>
          <w:numId w:val="1"/>
        </w:numPr>
        <w:tabs>
          <w:tab w:val="left" w:pos="426"/>
          <w:tab w:val="left" w:pos="1272"/>
          <w:tab w:val="left" w:pos="1273"/>
        </w:tabs>
        <w:spacing w:after="120"/>
        <w:ind w:left="0" w:firstLine="0"/>
        <w:rPr>
          <w:sz w:val="24"/>
        </w:rPr>
      </w:pPr>
      <w:r w:rsidRPr="00044560">
        <w:rPr>
          <w:sz w:val="24"/>
          <w:lang w:bidi="ru-RU"/>
        </w:rPr>
        <w:t>Заключение о подтверждении достоверности информации.</w:t>
      </w:r>
    </w:p>
    <w:p w14:paraId="33D9BFEF" w14:textId="77777777" w:rsidR="00DC320F" w:rsidRPr="00044560" w:rsidRDefault="00A607E8" w:rsidP="009E68A5">
      <w:pPr>
        <w:pStyle w:val="3"/>
        <w:widowControl/>
        <w:tabs>
          <w:tab w:val="left" w:pos="426"/>
        </w:tabs>
        <w:spacing w:after="120"/>
        <w:ind w:left="0"/>
        <w:rPr>
          <w:sz w:val="24"/>
        </w:rPr>
      </w:pPr>
      <w:r w:rsidRPr="00044560">
        <w:rPr>
          <w:sz w:val="24"/>
          <w:lang w:bidi="ru-RU"/>
        </w:rPr>
        <w:t>Конечные результаты аудита</w:t>
      </w:r>
    </w:p>
    <w:p w14:paraId="2D188F4B"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Аудитору рекомендуется предоставить Аффинажному предприятию три конечных результата после завершения выполнения задания по подтверждению достоверности информации:</w:t>
      </w:r>
    </w:p>
    <w:p w14:paraId="4126FEE3" w14:textId="77777777" w:rsidR="00DC320F" w:rsidRPr="00044560" w:rsidRDefault="00A607E8" w:rsidP="009E68A5">
      <w:pPr>
        <w:pStyle w:val="a5"/>
        <w:widowControl/>
        <w:numPr>
          <w:ilvl w:val="0"/>
          <w:numId w:val="1"/>
        </w:numPr>
        <w:tabs>
          <w:tab w:val="left" w:pos="426"/>
          <w:tab w:val="left" w:pos="1171"/>
          <w:tab w:val="left" w:pos="1172"/>
        </w:tabs>
        <w:spacing w:after="120"/>
        <w:ind w:left="0" w:firstLine="0"/>
        <w:rPr>
          <w:sz w:val="24"/>
        </w:rPr>
      </w:pPr>
      <w:r w:rsidRPr="00044560">
        <w:rPr>
          <w:sz w:val="24"/>
          <w:lang w:bidi="ru-RU"/>
        </w:rPr>
        <w:t>Отчет о независимом подтверждении достоверности информации</w:t>
      </w:r>
    </w:p>
    <w:p w14:paraId="100D317F" w14:textId="77777777" w:rsidR="00DC320F" w:rsidRPr="00044560" w:rsidRDefault="00A607E8" w:rsidP="009E68A5">
      <w:pPr>
        <w:pStyle w:val="a5"/>
        <w:widowControl/>
        <w:numPr>
          <w:ilvl w:val="0"/>
          <w:numId w:val="1"/>
        </w:numPr>
        <w:tabs>
          <w:tab w:val="left" w:pos="426"/>
          <w:tab w:val="left" w:pos="1171"/>
          <w:tab w:val="left" w:pos="1172"/>
        </w:tabs>
        <w:spacing w:after="120"/>
        <w:ind w:left="0" w:firstLine="0"/>
        <w:rPr>
          <w:sz w:val="24"/>
        </w:rPr>
      </w:pPr>
      <w:r w:rsidRPr="00044560">
        <w:rPr>
          <w:sz w:val="24"/>
          <w:lang w:bidi="ru-RU"/>
        </w:rPr>
        <w:lastRenderedPageBreak/>
        <w:t>Отчет руководства</w:t>
      </w:r>
    </w:p>
    <w:p w14:paraId="65307F3F" w14:textId="020A1B77" w:rsidR="00DC320F" w:rsidRPr="00044560" w:rsidRDefault="00DA0B70" w:rsidP="00DA0B70">
      <w:pPr>
        <w:pStyle w:val="a5"/>
        <w:widowControl/>
        <w:numPr>
          <w:ilvl w:val="0"/>
          <w:numId w:val="1"/>
        </w:numPr>
        <w:tabs>
          <w:tab w:val="left" w:pos="426"/>
          <w:tab w:val="left" w:pos="1171"/>
          <w:tab w:val="left" w:pos="1172"/>
        </w:tabs>
        <w:spacing w:after="120"/>
        <w:ind w:left="0" w:firstLine="0"/>
        <w:rPr>
          <w:sz w:val="24"/>
          <w:lang w:bidi="ru-RU"/>
        </w:rPr>
      </w:pPr>
      <w:r w:rsidRPr="00044560">
        <w:rPr>
          <w:sz w:val="24"/>
          <w:lang w:bidi="ru-RU"/>
        </w:rPr>
        <w:t>Список стран происхождения</w:t>
      </w:r>
    </w:p>
    <w:p w14:paraId="438D04D0"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Подробные требования к конечным результатам представлены в утвержденном Лондонским рынком платины и палладия Руководстве по ответственному выбору поставщиков, Руководстве по аудиту третьей стороной.</w:t>
      </w:r>
    </w:p>
    <w:p w14:paraId="0D650F0D" w14:textId="77777777" w:rsidR="00DC320F" w:rsidRPr="00044560" w:rsidRDefault="00A607E8" w:rsidP="009E68A5">
      <w:pPr>
        <w:pStyle w:val="3"/>
        <w:widowControl/>
        <w:tabs>
          <w:tab w:val="left" w:pos="426"/>
        </w:tabs>
        <w:spacing w:after="120"/>
        <w:ind w:left="0"/>
        <w:rPr>
          <w:sz w:val="24"/>
        </w:rPr>
      </w:pPr>
      <w:r w:rsidRPr="00044560">
        <w:rPr>
          <w:sz w:val="24"/>
          <w:lang w:bidi="ru-RU"/>
        </w:rPr>
        <w:t>Период аудита</w:t>
      </w:r>
    </w:p>
    <w:p w14:paraId="6DEC65E5"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r w:rsidRPr="00044560">
        <w:rPr>
          <w:sz w:val="24"/>
          <w:lang w:bidi="ru-RU"/>
        </w:rPr>
        <w:t>Аудит соблюдения Аффинажным предприятием данного Руководства по ответственной работе с платиной/палладием проводится ежегодно, и период аудита охватывает деятельность за 12-месячный отчетный период. Полный аудит (достаточное подтверждение достоверности информации/разумная оценка) проводится с целью удостовериться, что Аффинажные предприятия выполняют требования данного Руководства. После успешного прохождения полного аудита при отсутствии несоответствий, в течение последующих двух лет в отношении Аффинажных предприятий может проводиться аудит более низкого уровня или «аудиторский обзор» (ограниченное подтверждение достоверности информации/оценочный обзор). Полный аудит проводится каждые три года; но некоторые Аффинажные предприятия могут проводить полный аудит ежегодно. При обнаружении случаев несоответствия, или если в цепочке поставок Аффинажного предприятия произойдет значительное изменение обстоятельств, аудит необходимо проводить чаще, или в соответствующих обстоятельствах, например при смене собственника или кредитного рейтинга.</w:t>
      </w:r>
    </w:p>
    <w:p w14:paraId="2F1D49DB" w14:textId="77777777" w:rsidR="00DC320F" w:rsidRPr="00044560" w:rsidRDefault="00A607E8" w:rsidP="00675F0D">
      <w:pPr>
        <w:pStyle w:val="3"/>
        <w:keepNext/>
        <w:widowControl/>
        <w:tabs>
          <w:tab w:val="left" w:pos="426"/>
        </w:tabs>
        <w:spacing w:after="120"/>
        <w:ind w:left="0"/>
        <w:rPr>
          <w:sz w:val="24"/>
        </w:rPr>
      </w:pPr>
      <w:r w:rsidRPr="00044560">
        <w:rPr>
          <w:sz w:val="24"/>
          <w:lang w:bidi="ru-RU"/>
        </w:rPr>
        <w:t>Представление аудиторского отчета</w:t>
      </w:r>
    </w:p>
    <w:p w14:paraId="55A52E7A" w14:textId="77777777" w:rsidR="00DC320F" w:rsidRPr="00044560" w:rsidRDefault="00A607E8" w:rsidP="000D133D">
      <w:pPr>
        <w:pStyle w:val="a3"/>
        <w:widowControl/>
        <w:tabs>
          <w:tab w:val="left" w:pos="426"/>
        </w:tabs>
        <w:spacing w:before="100" w:beforeAutospacing="1" w:after="100" w:afterAutospacing="1" w:line="320" w:lineRule="exact"/>
        <w:jc w:val="both"/>
        <w:rPr>
          <w:sz w:val="24"/>
          <w:lang w:bidi="ru-RU"/>
        </w:rPr>
      </w:pPr>
      <w:proofErr w:type="gramStart"/>
      <w:r w:rsidRPr="00044560">
        <w:rPr>
          <w:sz w:val="24"/>
          <w:lang w:bidi="ru-RU"/>
        </w:rPr>
        <w:t>Копии</w:t>
      </w:r>
      <w:proofErr w:type="gramEnd"/>
      <w:r w:rsidRPr="00044560">
        <w:rPr>
          <w:sz w:val="24"/>
          <w:lang w:bidi="ru-RU"/>
        </w:rPr>
        <w:t xml:space="preserve"> как полных аудиторских отчетов, так и обзорных отчетов следует ежегодно предоставлять по электронной почте или в бумажном экземпляре. Аудиторы и Аффинажные предприятия будут проинформированы, если потребуются бумажные экземпляры.</w:t>
      </w:r>
    </w:p>
    <w:p w14:paraId="3CF4DC22" w14:textId="77777777" w:rsidR="00DC320F" w:rsidRPr="000D133D" w:rsidRDefault="00DC320F" w:rsidP="000D133D">
      <w:pPr>
        <w:pStyle w:val="a3"/>
        <w:widowControl/>
        <w:tabs>
          <w:tab w:val="left" w:pos="426"/>
        </w:tabs>
        <w:spacing w:before="100" w:beforeAutospacing="1" w:after="100" w:afterAutospacing="1" w:line="320" w:lineRule="exact"/>
        <w:jc w:val="both"/>
        <w:rPr>
          <w:sz w:val="24"/>
          <w:lang w:bidi="ru-RU"/>
        </w:rPr>
        <w:sectPr w:rsidR="00DC320F" w:rsidRPr="000D133D" w:rsidSect="00200AC9">
          <w:pgSz w:w="11900" w:h="16840" w:code="9"/>
          <w:pgMar w:top="851" w:right="851" w:bottom="851" w:left="1134" w:header="995" w:footer="1018" w:gutter="0"/>
          <w:cols w:space="720"/>
        </w:sectPr>
      </w:pPr>
    </w:p>
    <w:p w14:paraId="146D1727" w14:textId="4957171F" w:rsidR="00DC320F" w:rsidRPr="00FD642B" w:rsidRDefault="00A607E8" w:rsidP="00FD642B">
      <w:pPr>
        <w:pStyle w:val="2"/>
        <w:spacing w:before="100" w:beforeAutospacing="1" w:after="100" w:afterAutospacing="1" w:line="384" w:lineRule="exact"/>
        <w:ind w:left="0" w:firstLine="0"/>
        <w:rPr>
          <w:rFonts w:eastAsia="Franklin Gothic Book"/>
          <w:bCs w:val="0"/>
          <w:sz w:val="32"/>
          <w:szCs w:val="32"/>
        </w:rPr>
      </w:pPr>
      <w:r w:rsidRPr="00FD642B">
        <w:rPr>
          <w:rFonts w:eastAsia="Franklin Gothic Book"/>
          <w:bCs w:val="0"/>
          <w:sz w:val="32"/>
          <w:szCs w:val="32"/>
        </w:rPr>
        <w:lastRenderedPageBreak/>
        <w:t xml:space="preserve">ШАГ 5 </w:t>
      </w:r>
      <w:r w:rsidR="00EB7D64" w:rsidRPr="00FD642B">
        <w:rPr>
          <w:rFonts w:eastAsia="Franklin Gothic Book"/>
          <w:bCs w:val="0"/>
          <w:sz w:val="32"/>
          <w:szCs w:val="32"/>
        </w:rPr>
        <w:t xml:space="preserve">– </w:t>
      </w:r>
      <w:r w:rsidRPr="00FD642B">
        <w:rPr>
          <w:rFonts w:eastAsia="Franklin Gothic Book"/>
          <w:bCs w:val="0"/>
          <w:sz w:val="32"/>
          <w:szCs w:val="32"/>
        </w:rPr>
        <w:t>Отчет о проведенной Комплексной экспертизе цепочки поставок</w:t>
      </w:r>
    </w:p>
    <w:p w14:paraId="381DDDBA"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 xml:space="preserve">Аффинажные предприятия должны публично сообщать о своей политике и практике Комплексной экспертизы цепочки поставок платины/палладия, уделяя должное внимание безопасности, служебной информации и законным правам других участников цепочки поставок. Аффинажные предприятия должны ежегодно публично </w:t>
      </w:r>
      <w:proofErr w:type="gramStart"/>
      <w:r w:rsidRPr="00044560">
        <w:rPr>
          <w:sz w:val="24"/>
          <w:szCs w:val="24"/>
          <w:lang w:bidi="ru-RU"/>
        </w:rPr>
        <w:t>отчитываться о соблюдении</w:t>
      </w:r>
      <w:proofErr w:type="gramEnd"/>
      <w:r w:rsidRPr="00044560">
        <w:rPr>
          <w:sz w:val="24"/>
          <w:szCs w:val="24"/>
          <w:lang w:bidi="ru-RU"/>
        </w:rPr>
        <w:t xml:space="preserve"> данного Руководства в отношении деятельности за 12-месячный отчетный период.</w:t>
      </w:r>
    </w:p>
    <w:p w14:paraId="03F63C71" w14:textId="77777777" w:rsidR="00DC320F" w:rsidRPr="00044560" w:rsidRDefault="00A607E8" w:rsidP="009E68A5">
      <w:pPr>
        <w:pStyle w:val="2"/>
        <w:widowControl/>
        <w:tabs>
          <w:tab w:val="left" w:pos="426"/>
        </w:tabs>
        <w:spacing w:after="120"/>
        <w:ind w:left="0" w:firstLine="0"/>
        <w:jc w:val="both"/>
        <w:rPr>
          <w:sz w:val="24"/>
          <w:szCs w:val="24"/>
        </w:rPr>
      </w:pPr>
      <w:r w:rsidRPr="00044560">
        <w:rPr>
          <w:sz w:val="24"/>
          <w:szCs w:val="24"/>
          <w:lang w:bidi="ru-RU"/>
        </w:rPr>
        <w:t>ISAE 3000</w:t>
      </w:r>
    </w:p>
    <w:p w14:paraId="02EBA13D" w14:textId="4C58883A"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В отношении Заданий по подтверждению достоверности информации, Аффинажные предприятия обязаны составлять Отчет о соблюдении требований</w:t>
      </w:r>
      <w:r w:rsidR="00200AC9" w:rsidRPr="00044560">
        <w:rPr>
          <w:sz w:val="24"/>
          <w:szCs w:val="24"/>
          <w:lang w:bidi="ru-RU"/>
        </w:rPr>
        <w:t xml:space="preserve"> </w:t>
      </w:r>
      <w:r w:rsidRPr="00044560">
        <w:rPr>
          <w:sz w:val="24"/>
          <w:szCs w:val="24"/>
          <w:lang w:bidi="ru-RU"/>
        </w:rPr>
        <w:t>Аффинажным предприятием, содержащий следующую информацию:</w:t>
      </w:r>
    </w:p>
    <w:p w14:paraId="11D0EC64"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Название Аффинажного предприятия;</w:t>
      </w:r>
    </w:p>
    <w:p w14:paraId="170967D6"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Период соблюдения требований;</w:t>
      </w:r>
    </w:p>
    <w:p w14:paraId="5EE1365C"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Страна происхождения Добытой и Переработанной платины/палладия;</w:t>
      </w:r>
    </w:p>
    <w:p w14:paraId="00EF5B6A"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Краткое описание действий, предпринятых в течение этого периода для демонстрации соблюдения требований;</w:t>
      </w:r>
    </w:p>
    <w:p w14:paraId="7992ABE0"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 xml:space="preserve">Уровень соблюдения Аффинажным предприятием каждого шага в рамках данного </w:t>
      </w:r>
      <w:r w:rsidRPr="00044560">
        <w:rPr>
          <w:i/>
          <w:sz w:val="24"/>
          <w:szCs w:val="24"/>
          <w:lang w:bidi="ru-RU"/>
        </w:rPr>
        <w:t>Руководства</w:t>
      </w:r>
      <w:r w:rsidRPr="00044560">
        <w:rPr>
          <w:sz w:val="24"/>
          <w:szCs w:val="24"/>
          <w:lang w:bidi="ru-RU"/>
        </w:rPr>
        <w:t>;</w:t>
      </w:r>
    </w:p>
    <w:p w14:paraId="0AD89D53"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 xml:space="preserve">Заключение Руководства предприятия о соблюдении требований данного </w:t>
      </w:r>
      <w:r w:rsidRPr="00044560">
        <w:rPr>
          <w:i/>
          <w:sz w:val="24"/>
          <w:szCs w:val="24"/>
          <w:lang w:bidi="ru-RU"/>
        </w:rPr>
        <w:t>Руководства</w:t>
      </w:r>
      <w:r w:rsidRPr="00044560">
        <w:rPr>
          <w:sz w:val="24"/>
          <w:szCs w:val="24"/>
          <w:lang w:bidi="ru-RU"/>
        </w:rPr>
        <w:t>;</w:t>
      </w:r>
    </w:p>
    <w:p w14:paraId="43CAD343"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довести свою внутреннюю политику в отношении цепочки поставок платины/палладия (которая должна быть четко отображена на их веб-сайте), Отчет о соблюдении Аффинажным предприятием требований данного руководства, а также аудиторский Отчет о подтверждении достоверности информации до всеобщего сведения. Аффинажные предприятия не обязаны доводить до всеобщего сведения Приложение к Отчету, в котором раскрываются страны происхождения платины/палладия.</w:t>
      </w:r>
    </w:p>
    <w:p w14:paraId="3B380CEC" w14:textId="77777777" w:rsidR="00DC320F" w:rsidRPr="00044560" w:rsidRDefault="00A607E8" w:rsidP="009E68A5">
      <w:pPr>
        <w:pStyle w:val="2"/>
        <w:widowControl/>
        <w:tabs>
          <w:tab w:val="left" w:pos="426"/>
        </w:tabs>
        <w:spacing w:after="120"/>
        <w:ind w:left="0" w:firstLine="0"/>
        <w:jc w:val="both"/>
        <w:rPr>
          <w:sz w:val="24"/>
          <w:szCs w:val="24"/>
        </w:rPr>
      </w:pPr>
      <w:r w:rsidRPr="00044560">
        <w:rPr>
          <w:sz w:val="24"/>
          <w:szCs w:val="24"/>
          <w:lang w:bidi="ru-RU"/>
        </w:rPr>
        <w:t>План корректирующих действий</w:t>
      </w:r>
    </w:p>
    <w:p w14:paraId="7507DE98"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При наличии несоответствий со средним риском, высоким риском или недопустимых соответствий и/или невыполнении Аффинажным предприятием одного или нескольких требований, изложенных в Шагах 1-5 данного Руководства, отдельные Аффинажные предприятия также предоставляют План корректирующих действий соответствующему Комитету по вопросам ответственного выбора поставщиков Лондонского рынка платины и палладия.</w:t>
      </w:r>
    </w:p>
    <w:p w14:paraId="16F3C570"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План корректирующих действий Аффинажного предприятия должен включать (по каждому выявленному несоответствию со средним риском, с высоким риском и по каждому недопустимому несоответствию):</w:t>
      </w:r>
    </w:p>
    <w:p w14:paraId="4F8BE478"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lastRenderedPageBreak/>
        <w:t>Описание проблемы;</w:t>
      </w:r>
    </w:p>
    <w:p w14:paraId="44C8BC17"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Ссылку на соответствующий раздел данного Руководства;</w:t>
      </w:r>
    </w:p>
    <w:p w14:paraId="63E498CB"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Присвоенный рейтинг риска несоответствия;</w:t>
      </w:r>
    </w:p>
    <w:p w14:paraId="53C686CD"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Корректирующие действия, которые должны быть предприняты для каждого выявленного несоответствия;</w:t>
      </w:r>
    </w:p>
    <w:p w14:paraId="022E4543"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 xml:space="preserve">Сроки выполнения корректирующих действий для каждого выявленного несоответствия; </w:t>
      </w:r>
    </w:p>
    <w:p w14:paraId="4423C633"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Лицо, ответственное за выполнение каждого корректирующего действия.</w:t>
      </w:r>
    </w:p>
    <w:p w14:paraId="1EEFC18D" w14:textId="77777777"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По своему усмотрению, Комитет по вопросам ответственного выбора поставщиков Лондонского рынка платины и палладия может потребовать, чтобы План корректирующих действий был рассмотрен аудитором на дату завершения до наступления срока следующего ежегодного аудита.</w:t>
      </w:r>
    </w:p>
    <w:p w14:paraId="6EE0FEA9" w14:textId="77777777" w:rsidR="00DC320F" w:rsidRPr="00044560" w:rsidRDefault="00A607E8" w:rsidP="009E68A5">
      <w:pPr>
        <w:widowControl/>
        <w:tabs>
          <w:tab w:val="left" w:pos="426"/>
        </w:tabs>
        <w:spacing w:after="120"/>
        <w:rPr>
          <w:b/>
          <w:sz w:val="24"/>
          <w:szCs w:val="24"/>
        </w:rPr>
      </w:pPr>
      <w:r w:rsidRPr="00044560">
        <w:rPr>
          <w:b/>
          <w:sz w:val="24"/>
          <w:szCs w:val="24"/>
          <w:lang w:bidi="ru-RU"/>
        </w:rPr>
        <w:t>Невыполнение требований.</w:t>
      </w:r>
    </w:p>
    <w:p w14:paraId="48967B53" w14:textId="6FD5C128"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proofErr w:type="gramStart"/>
      <w:r w:rsidRPr="00044560">
        <w:rPr>
          <w:sz w:val="24"/>
          <w:szCs w:val="24"/>
          <w:lang w:bidi="ru-RU"/>
        </w:rPr>
        <w:t xml:space="preserve">Несоблюдение или отказ следовать данному Руководству (включая текущие обязательства аффинажного предприятия и требования к публичной отчетности в отношении ответственного выбора поставщиков) и/или отказ от организации и/или предоставления аудиторских отчетов в соответствии с шагами 4 и 5 </w:t>
      </w:r>
      <w:r w:rsidR="00582AA2" w:rsidRPr="00044560">
        <w:rPr>
          <w:sz w:val="24"/>
          <w:szCs w:val="24"/>
          <w:lang w:bidi="ru-RU"/>
        </w:rPr>
        <w:t xml:space="preserve">данного Руководства </w:t>
      </w:r>
      <w:r w:rsidRPr="00044560">
        <w:rPr>
          <w:sz w:val="24"/>
          <w:szCs w:val="24"/>
          <w:lang w:bidi="ru-RU"/>
        </w:rPr>
        <w:t>может привести к следующим мерам, осуществляемым исключительно по усмотрению Лондонского рынка платины и палладия:</w:t>
      </w:r>
      <w:proofErr w:type="gramEnd"/>
    </w:p>
    <w:p w14:paraId="1283DF0C" w14:textId="2A075DD8" w:rsidR="00DC320F" w:rsidRPr="00044560" w:rsidRDefault="00A607E8" w:rsidP="0086602C">
      <w:pPr>
        <w:pStyle w:val="a5"/>
        <w:widowControl/>
        <w:numPr>
          <w:ilvl w:val="0"/>
          <w:numId w:val="1"/>
        </w:numPr>
        <w:tabs>
          <w:tab w:val="left" w:pos="426"/>
          <w:tab w:val="left" w:pos="1159"/>
          <w:tab w:val="left" w:pos="1160"/>
        </w:tabs>
        <w:spacing w:after="120"/>
        <w:ind w:left="0" w:firstLine="0"/>
        <w:rPr>
          <w:sz w:val="24"/>
          <w:szCs w:val="24"/>
          <w:lang w:bidi="ru-RU"/>
        </w:rPr>
      </w:pPr>
      <w:r w:rsidRPr="00044560">
        <w:rPr>
          <w:sz w:val="24"/>
          <w:szCs w:val="24"/>
          <w:lang w:bidi="ru-RU"/>
        </w:rPr>
        <w:t>Отказ в добавлении заявителя в Список надежных поставщиков</w:t>
      </w:r>
      <w:r w:rsidR="00200AC9" w:rsidRPr="00044560">
        <w:rPr>
          <w:sz w:val="24"/>
          <w:szCs w:val="24"/>
          <w:lang w:bidi="ru-RU"/>
        </w:rPr>
        <w:t xml:space="preserve"> </w:t>
      </w:r>
      <w:r w:rsidRPr="00044560">
        <w:rPr>
          <w:sz w:val="24"/>
          <w:szCs w:val="24"/>
          <w:lang w:bidi="ru-RU"/>
        </w:rPr>
        <w:t xml:space="preserve">или в </w:t>
      </w:r>
      <w:proofErr w:type="spellStart"/>
      <w:r w:rsidR="0086602C" w:rsidRPr="00044560">
        <w:rPr>
          <w:sz w:val="24"/>
          <w:szCs w:val="24"/>
          <w:lang w:bidi="ru-RU"/>
        </w:rPr>
        <w:t>аккредитационный</w:t>
      </w:r>
      <w:proofErr w:type="spellEnd"/>
      <w:r w:rsidR="0086602C" w:rsidRPr="00044560">
        <w:rPr>
          <w:sz w:val="24"/>
          <w:szCs w:val="24"/>
          <w:lang w:bidi="ru-RU"/>
        </w:rPr>
        <w:t xml:space="preserve"> список </w:t>
      </w:r>
      <w:r w:rsidR="00095B17" w:rsidRPr="00044560">
        <w:rPr>
          <w:spacing w:val="-1"/>
          <w:sz w:val="24"/>
          <w:szCs w:val="24"/>
          <w:lang w:bidi="ru-RU"/>
        </w:rPr>
        <w:t>предприятий, допущенных к работе с металлами губчатой структуры</w:t>
      </w:r>
      <w:r w:rsidRPr="00044560">
        <w:rPr>
          <w:sz w:val="24"/>
          <w:szCs w:val="24"/>
          <w:lang w:bidi="ru-RU"/>
        </w:rPr>
        <w:t>.</w:t>
      </w:r>
      <w:r w:rsidR="00DA0B70" w:rsidRPr="00044560">
        <w:rPr>
          <w:sz w:val="24"/>
          <w:szCs w:val="24"/>
          <w:lang w:bidi="ru-RU"/>
        </w:rPr>
        <w:t xml:space="preserve"> </w:t>
      </w:r>
    </w:p>
    <w:p w14:paraId="68109B8F" w14:textId="77777777"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 xml:space="preserve">Проведение дальнейших или повторных аудитов в соответствии с настоящим </w:t>
      </w:r>
      <w:r w:rsidRPr="00044560">
        <w:rPr>
          <w:i/>
          <w:sz w:val="24"/>
          <w:szCs w:val="24"/>
          <w:lang w:bidi="ru-RU"/>
        </w:rPr>
        <w:t xml:space="preserve">Руководством </w:t>
      </w:r>
      <w:r w:rsidRPr="00044560">
        <w:rPr>
          <w:sz w:val="24"/>
          <w:szCs w:val="24"/>
          <w:lang w:bidi="ru-RU"/>
        </w:rPr>
        <w:t>и/или предоставление информации или дополнительных разъяснений со стороны аффинажного предприятия.</w:t>
      </w:r>
    </w:p>
    <w:p w14:paraId="602CB2BC" w14:textId="7EE03810"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 xml:space="preserve">Отстранение от участия в Списке надежных поставщиков или </w:t>
      </w:r>
      <w:r w:rsidR="0086602C" w:rsidRPr="00044560">
        <w:rPr>
          <w:sz w:val="24"/>
          <w:szCs w:val="24"/>
          <w:lang w:bidi="ru-RU"/>
        </w:rPr>
        <w:t xml:space="preserve">в </w:t>
      </w:r>
      <w:proofErr w:type="spellStart"/>
      <w:r w:rsidR="0086602C" w:rsidRPr="00044560">
        <w:rPr>
          <w:sz w:val="24"/>
          <w:szCs w:val="24"/>
          <w:lang w:bidi="ru-RU"/>
        </w:rPr>
        <w:t>аккредитационно</w:t>
      </w:r>
      <w:proofErr w:type="gramStart"/>
      <w:r w:rsidR="0086602C" w:rsidRPr="00044560">
        <w:rPr>
          <w:sz w:val="24"/>
          <w:szCs w:val="24"/>
          <w:lang w:bidi="ru-RU"/>
        </w:rPr>
        <w:t>м</w:t>
      </w:r>
      <w:proofErr w:type="spellEnd"/>
      <w:r w:rsidR="0086602C" w:rsidRPr="00044560">
        <w:rPr>
          <w:sz w:val="24"/>
          <w:szCs w:val="24"/>
          <w:lang w:bidi="ru-RU"/>
        </w:rPr>
        <w:t>(</w:t>
      </w:r>
      <w:proofErr w:type="spellStart"/>
      <w:proofErr w:type="gramEnd"/>
      <w:r w:rsidR="0086602C" w:rsidRPr="00044560">
        <w:rPr>
          <w:sz w:val="24"/>
          <w:szCs w:val="24"/>
          <w:lang w:bidi="ru-RU"/>
        </w:rPr>
        <w:t>ых</w:t>
      </w:r>
      <w:proofErr w:type="spellEnd"/>
      <w:r w:rsidR="0086602C" w:rsidRPr="00044560">
        <w:rPr>
          <w:sz w:val="24"/>
          <w:szCs w:val="24"/>
          <w:lang w:bidi="ru-RU"/>
        </w:rPr>
        <w:t xml:space="preserve">) списке(ах) </w:t>
      </w:r>
      <w:r w:rsidR="00095B17" w:rsidRPr="00044560">
        <w:rPr>
          <w:spacing w:val="-1"/>
          <w:sz w:val="24"/>
          <w:szCs w:val="24"/>
          <w:lang w:bidi="ru-RU"/>
        </w:rPr>
        <w:t>предприятий, допущенных к работе с металлами губчатой структуры</w:t>
      </w:r>
      <w:r w:rsidR="00095B17" w:rsidRPr="00044560">
        <w:rPr>
          <w:sz w:val="24"/>
          <w:szCs w:val="24"/>
          <w:lang w:bidi="ru-RU"/>
        </w:rPr>
        <w:t xml:space="preserve"> </w:t>
      </w:r>
      <w:r w:rsidRPr="00044560">
        <w:rPr>
          <w:sz w:val="24"/>
          <w:szCs w:val="24"/>
          <w:lang w:bidi="ru-RU"/>
        </w:rPr>
        <w:t>до проведения дальнейшего расследования или запросов со стороны Лондонского рынка платины и палладия.</w:t>
      </w:r>
    </w:p>
    <w:p w14:paraId="2DD1C4D1" w14:textId="0D76670A" w:rsidR="00DC320F" w:rsidRPr="00044560" w:rsidRDefault="00A607E8" w:rsidP="009E68A5">
      <w:pPr>
        <w:pStyle w:val="a5"/>
        <w:widowControl/>
        <w:numPr>
          <w:ilvl w:val="0"/>
          <w:numId w:val="1"/>
        </w:numPr>
        <w:tabs>
          <w:tab w:val="left" w:pos="426"/>
          <w:tab w:val="left" w:pos="1159"/>
          <w:tab w:val="left" w:pos="1160"/>
        </w:tabs>
        <w:spacing w:after="120"/>
        <w:ind w:left="0" w:firstLine="0"/>
        <w:rPr>
          <w:sz w:val="24"/>
          <w:szCs w:val="24"/>
        </w:rPr>
      </w:pPr>
      <w:r w:rsidRPr="00044560">
        <w:rPr>
          <w:sz w:val="24"/>
          <w:szCs w:val="24"/>
          <w:lang w:bidi="ru-RU"/>
        </w:rPr>
        <w:t xml:space="preserve">Исключение из </w:t>
      </w:r>
      <w:r w:rsidR="00095B17" w:rsidRPr="00044560">
        <w:rPr>
          <w:sz w:val="24"/>
          <w:szCs w:val="24"/>
          <w:lang w:bidi="ru-RU"/>
        </w:rPr>
        <w:t xml:space="preserve">Списка надежных поставщиков или </w:t>
      </w:r>
      <w:proofErr w:type="spellStart"/>
      <w:r w:rsidR="00095B17" w:rsidRPr="00044560">
        <w:rPr>
          <w:sz w:val="24"/>
          <w:szCs w:val="24"/>
          <w:lang w:bidi="ru-RU"/>
        </w:rPr>
        <w:t>аккредитационног</w:t>
      </w:r>
      <w:proofErr w:type="gramStart"/>
      <w:r w:rsidR="00095B17" w:rsidRPr="00044560">
        <w:rPr>
          <w:sz w:val="24"/>
          <w:szCs w:val="24"/>
          <w:lang w:bidi="ru-RU"/>
        </w:rPr>
        <w:t>о</w:t>
      </w:r>
      <w:proofErr w:type="spellEnd"/>
      <w:r w:rsidR="00095B17" w:rsidRPr="00044560">
        <w:rPr>
          <w:sz w:val="24"/>
          <w:szCs w:val="24"/>
          <w:lang w:bidi="ru-RU"/>
        </w:rPr>
        <w:t>(</w:t>
      </w:r>
      <w:proofErr w:type="spellStart"/>
      <w:proofErr w:type="gramEnd"/>
      <w:r w:rsidR="00095B17" w:rsidRPr="00044560">
        <w:rPr>
          <w:sz w:val="24"/>
          <w:szCs w:val="24"/>
          <w:lang w:bidi="ru-RU"/>
        </w:rPr>
        <w:t>ых</w:t>
      </w:r>
      <w:proofErr w:type="spellEnd"/>
      <w:r w:rsidR="00095B17" w:rsidRPr="00044560">
        <w:rPr>
          <w:sz w:val="24"/>
          <w:szCs w:val="24"/>
          <w:lang w:bidi="ru-RU"/>
        </w:rPr>
        <w:t>) списка(</w:t>
      </w:r>
      <w:proofErr w:type="spellStart"/>
      <w:r w:rsidR="00095B17" w:rsidRPr="00044560">
        <w:rPr>
          <w:sz w:val="24"/>
          <w:szCs w:val="24"/>
          <w:lang w:bidi="ru-RU"/>
        </w:rPr>
        <w:t>ов</w:t>
      </w:r>
      <w:proofErr w:type="spellEnd"/>
      <w:r w:rsidR="00095B17" w:rsidRPr="00044560">
        <w:rPr>
          <w:sz w:val="24"/>
          <w:szCs w:val="24"/>
          <w:lang w:bidi="ru-RU"/>
        </w:rPr>
        <w:t xml:space="preserve">) </w:t>
      </w:r>
      <w:r w:rsidR="00095B17" w:rsidRPr="00044560">
        <w:rPr>
          <w:spacing w:val="-1"/>
          <w:sz w:val="24"/>
          <w:szCs w:val="24"/>
          <w:lang w:bidi="ru-RU"/>
        </w:rPr>
        <w:t>предприятий, допущенных к работе с металлами губчатой структуры</w:t>
      </w:r>
      <w:r w:rsidRPr="00044560">
        <w:rPr>
          <w:sz w:val="24"/>
          <w:szCs w:val="24"/>
          <w:lang w:bidi="ru-RU"/>
        </w:rPr>
        <w:t>.</w:t>
      </w:r>
      <w:r w:rsidR="00095B17" w:rsidRPr="00044560">
        <w:rPr>
          <w:sz w:val="24"/>
          <w:szCs w:val="24"/>
          <w:lang w:bidi="ru-RU"/>
        </w:rPr>
        <w:t xml:space="preserve"> </w:t>
      </w:r>
    </w:p>
    <w:p w14:paraId="14FB8C29" w14:textId="77777777" w:rsidR="000D133D"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b/>
          <w:sz w:val="24"/>
          <w:szCs w:val="24"/>
          <w:lang w:bidi="ru-RU"/>
        </w:rPr>
        <w:t>Дата вступления в силу</w:t>
      </w:r>
    </w:p>
    <w:p w14:paraId="1B88D92E" w14:textId="113CC30F" w:rsidR="00DC320F" w:rsidRPr="00044560" w:rsidRDefault="00A607E8" w:rsidP="000D133D">
      <w:pPr>
        <w:pStyle w:val="a3"/>
        <w:widowControl/>
        <w:tabs>
          <w:tab w:val="left" w:pos="426"/>
        </w:tabs>
        <w:spacing w:before="100" w:beforeAutospacing="1" w:after="100" w:afterAutospacing="1" w:line="320" w:lineRule="exact"/>
        <w:jc w:val="both"/>
        <w:rPr>
          <w:sz w:val="24"/>
          <w:szCs w:val="24"/>
          <w:lang w:bidi="ru-RU"/>
        </w:rPr>
      </w:pPr>
      <w:r w:rsidRPr="00044560">
        <w:rPr>
          <w:sz w:val="24"/>
          <w:szCs w:val="24"/>
          <w:lang w:bidi="ru-RU"/>
        </w:rPr>
        <w:t>Аффинажные предприятия должны применять данное Руководство (версия 3) в отношении своего годового периода, начинающегося 1 марта 2021 г. или после этой даты.</w:t>
      </w:r>
    </w:p>
    <w:sectPr w:rsidR="00DC320F" w:rsidRPr="00044560" w:rsidSect="00200AC9">
      <w:pgSz w:w="11900" w:h="16840" w:code="9"/>
      <w:pgMar w:top="851" w:right="851" w:bottom="851" w:left="1134" w:header="995" w:footer="10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DC86B" w14:textId="77777777" w:rsidR="008047B0" w:rsidRDefault="008047B0">
      <w:r>
        <w:separator/>
      </w:r>
    </w:p>
  </w:endnote>
  <w:endnote w:type="continuationSeparator" w:id="0">
    <w:p w14:paraId="451A1883" w14:textId="77777777" w:rsidR="008047B0" w:rsidRDefault="0080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Franklin Gothic Book">
    <w:altName w:val="Corbel"/>
    <w:charset w:val="CC"/>
    <w:family w:val="swiss"/>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77EF4" w14:textId="0C386E6F" w:rsidR="00DC320F" w:rsidRDefault="00DC320F">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9A1B5" w14:textId="77777777" w:rsidR="008047B0" w:rsidRDefault="008047B0">
      <w:r>
        <w:separator/>
      </w:r>
    </w:p>
  </w:footnote>
  <w:footnote w:type="continuationSeparator" w:id="0">
    <w:p w14:paraId="479AEE49" w14:textId="77777777" w:rsidR="008047B0" w:rsidRDefault="008047B0">
      <w:r>
        <w:continuationSeparator/>
      </w:r>
    </w:p>
  </w:footnote>
  <w:footnote w:id="1">
    <w:p w14:paraId="08EE071D" w14:textId="44DAD2BE" w:rsidR="009E68A5" w:rsidRPr="00B8445B" w:rsidRDefault="009E68A5">
      <w:pPr>
        <w:pStyle w:val="aa"/>
      </w:pPr>
      <w:r>
        <w:rPr>
          <w:rStyle w:val="ac"/>
        </w:rPr>
        <w:footnoteRef/>
      </w:r>
      <w:r>
        <w:t xml:space="preserve"> </w:t>
      </w:r>
      <w:r w:rsidRPr="000D133D">
        <w:rPr>
          <w:rFonts w:ascii="Times New Roman" w:hAnsi="Times New Roman"/>
          <w:w w:val="105"/>
          <w:lang w:bidi="ru-RU"/>
        </w:rPr>
        <w:t xml:space="preserve">Управление Верховного комиссара ООН по правам человека: </w:t>
      </w:r>
      <w:hyperlink r:id="rId1">
        <w:r w:rsidRPr="000D133D">
          <w:rPr>
            <w:rFonts w:ascii="Times New Roman" w:hAnsi="Times New Roman"/>
            <w:color w:val="0561C1"/>
            <w:w w:val="105"/>
            <w:u w:val="single" w:color="0561C1"/>
            <w:lang w:bidi="ru-RU"/>
          </w:rPr>
          <w:t>http://www2.ohchr.org/english/law/</w:t>
        </w:r>
      </w:hyperlink>
    </w:p>
  </w:footnote>
  <w:footnote w:id="2">
    <w:p w14:paraId="40ADC892" w14:textId="26CB8FE3" w:rsidR="00D87A10" w:rsidRDefault="00D87A10">
      <w:pPr>
        <w:pStyle w:val="aa"/>
      </w:pPr>
      <w:r>
        <w:rPr>
          <w:rStyle w:val="ac"/>
        </w:rPr>
        <w:footnoteRef/>
      </w:r>
      <w:r>
        <w:t xml:space="preserve"> </w:t>
      </w:r>
      <w:r w:rsidRPr="00200AC9">
        <w:rPr>
          <w:rFonts w:ascii="Times New Roman" w:hAnsi="Times New Roman"/>
          <w:w w:val="105"/>
          <w:sz w:val="24"/>
          <w:lang w:bidi="ru-RU"/>
        </w:rPr>
        <w:t xml:space="preserve">Управление Верховного комиссара ООН по правам человека: </w:t>
      </w:r>
      <w:hyperlink r:id="rId2">
        <w:r w:rsidRPr="00200AC9">
          <w:rPr>
            <w:rFonts w:ascii="Times New Roman" w:hAnsi="Times New Roman"/>
            <w:color w:val="0561C1"/>
            <w:w w:val="105"/>
            <w:sz w:val="24"/>
            <w:u w:val="single" w:color="0561C1"/>
            <w:lang w:bidi="ru-RU"/>
          </w:rPr>
          <w:t>http://www2.ohchr.org/english/law/</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839F7" w14:textId="70B358D6" w:rsidR="00DC320F" w:rsidRDefault="00DC320F">
    <w:pPr>
      <w:pStyle w:val="a3"/>
      <w:spacing w:line="14" w:lineRule="auto"/>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02056" w14:textId="59552C7A" w:rsidR="00DC320F" w:rsidRDefault="00DC320F">
    <w:pPr>
      <w:pStyle w:val="a3"/>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516"/>
    <w:multiLevelType w:val="hybridMultilevel"/>
    <w:tmpl w:val="22DCA290"/>
    <w:lvl w:ilvl="0" w:tplc="D9808D08">
      <w:start w:val="1"/>
      <w:numFmt w:val="decimal"/>
      <w:lvlText w:val="%1"/>
      <w:lvlJc w:val="left"/>
      <w:pPr>
        <w:ind w:left="267" w:hanging="128"/>
      </w:pPr>
      <w:rPr>
        <w:rFonts w:ascii="Arial" w:eastAsia="Arial" w:hAnsi="Arial" w:cs="Arial" w:hint="default"/>
        <w:b w:val="0"/>
        <w:bCs w:val="0"/>
        <w:i w:val="0"/>
        <w:iCs w:val="0"/>
        <w:w w:val="99"/>
        <w:position w:val="6"/>
        <w:sz w:val="13"/>
        <w:szCs w:val="13"/>
        <w:lang w:val="en-US" w:eastAsia="en-US" w:bidi="ar-SA"/>
      </w:rPr>
    </w:lvl>
    <w:lvl w:ilvl="1" w:tplc="CFDE11B2">
      <w:start w:val="1"/>
      <w:numFmt w:val="decimal"/>
      <w:lvlText w:val="%2."/>
      <w:lvlJc w:val="left"/>
      <w:pPr>
        <w:ind w:left="811" w:hanging="348"/>
        <w:jc w:val="right"/>
      </w:pPr>
      <w:rPr>
        <w:rFonts w:ascii="Arial" w:eastAsia="Arial" w:hAnsi="Arial" w:cs="Arial" w:hint="default"/>
        <w:b/>
        <w:bCs/>
        <w:i w:val="0"/>
        <w:iCs w:val="0"/>
        <w:spacing w:val="-3"/>
        <w:w w:val="99"/>
        <w:sz w:val="19"/>
        <w:szCs w:val="19"/>
        <w:lang w:val="en-US" w:eastAsia="en-US" w:bidi="ar-SA"/>
      </w:rPr>
    </w:lvl>
    <w:lvl w:ilvl="2" w:tplc="24A2BFC4">
      <w:numFmt w:val="bullet"/>
      <w:lvlText w:val=""/>
      <w:lvlJc w:val="left"/>
      <w:pPr>
        <w:ind w:left="848" w:hanging="281"/>
      </w:pPr>
      <w:rPr>
        <w:rFonts w:ascii="Symbol" w:eastAsia="Symbol" w:hAnsi="Symbol" w:cs="Symbol" w:hint="default"/>
        <w:b w:val="0"/>
        <w:bCs w:val="0"/>
        <w:i w:val="0"/>
        <w:iCs w:val="0"/>
        <w:w w:val="96"/>
        <w:sz w:val="19"/>
        <w:szCs w:val="19"/>
        <w:lang w:val="en-US" w:eastAsia="en-US" w:bidi="ar-SA"/>
      </w:rPr>
    </w:lvl>
    <w:lvl w:ilvl="3" w:tplc="78E466BA">
      <w:numFmt w:val="bullet"/>
      <w:lvlText w:val="•"/>
      <w:lvlJc w:val="left"/>
      <w:pPr>
        <w:ind w:left="1982" w:hanging="281"/>
      </w:pPr>
      <w:rPr>
        <w:rFonts w:hint="default"/>
        <w:lang w:val="en-US" w:eastAsia="en-US" w:bidi="ar-SA"/>
      </w:rPr>
    </w:lvl>
    <w:lvl w:ilvl="4" w:tplc="6F4EA4B2">
      <w:numFmt w:val="bullet"/>
      <w:lvlText w:val="•"/>
      <w:lvlJc w:val="left"/>
      <w:pPr>
        <w:ind w:left="3125" w:hanging="281"/>
      </w:pPr>
      <w:rPr>
        <w:rFonts w:hint="default"/>
        <w:lang w:val="en-US" w:eastAsia="en-US" w:bidi="ar-SA"/>
      </w:rPr>
    </w:lvl>
    <w:lvl w:ilvl="5" w:tplc="F0B01702">
      <w:numFmt w:val="bullet"/>
      <w:lvlText w:val="•"/>
      <w:lvlJc w:val="left"/>
      <w:pPr>
        <w:ind w:left="4267" w:hanging="281"/>
      </w:pPr>
      <w:rPr>
        <w:rFonts w:hint="default"/>
        <w:lang w:val="en-US" w:eastAsia="en-US" w:bidi="ar-SA"/>
      </w:rPr>
    </w:lvl>
    <w:lvl w:ilvl="6" w:tplc="FD28A91C">
      <w:numFmt w:val="bullet"/>
      <w:lvlText w:val="•"/>
      <w:lvlJc w:val="left"/>
      <w:pPr>
        <w:ind w:left="5410" w:hanging="281"/>
      </w:pPr>
      <w:rPr>
        <w:rFonts w:hint="default"/>
        <w:lang w:val="en-US" w:eastAsia="en-US" w:bidi="ar-SA"/>
      </w:rPr>
    </w:lvl>
    <w:lvl w:ilvl="7" w:tplc="2BF01272">
      <w:numFmt w:val="bullet"/>
      <w:lvlText w:val="•"/>
      <w:lvlJc w:val="left"/>
      <w:pPr>
        <w:ind w:left="6552" w:hanging="281"/>
      </w:pPr>
      <w:rPr>
        <w:rFonts w:hint="default"/>
        <w:lang w:val="en-US" w:eastAsia="en-US" w:bidi="ar-SA"/>
      </w:rPr>
    </w:lvl>
    <w:lvl w:ilvl="8" w:tplc="0756B216">
      <w:numFmt w:val="bullet"/>
      <w:lvlText w:val="•"/>
      <w:lvlJc w:val="left"/>
      <w:pPr>
        <w:ind w:left="7695" w:hanging="281"/>
      </w:pPr>
      <w:rPr>
        <w:rFonts w:hint="default"/>
        <w:lang w:val="en-US" w:eastAsia="en-US" w:bidi="ar-SA"/>
      </w:rPr>
    </w:lvl>
  </w:abstractNum>
  <w:abstractNum w:abstractNumId="1">
    <w:nsid w:val="02813301"/>
    <w:multiLevelType w:val="hybridMultilevel"/>
    <w:tmpl w:val="C282899E"/>
    <w:lvl w:ilvl="0" w:tplc="06A8DA90">
      <w:numFmt w:val="bullet"/>
      <w:lvlText w:val=""/>
      <w:lvlJc w:val="left"/>
      <w:pPr>
        <w:ind w:left="1160" w:hanging="348"/>
      </w:pPr>
      <w:rPr>
        <w:rFonts w:ascii="Symbol" w:eastAsia="Symbol" w:hAnsi="Symbol" w:cs="Symbol" w:hint="default"/>
        <w:b w:val="0"/>
        <w:bCs w:val="0"/>
        <w:i w:val="0"/>
        <w:iCs w:val="0"/>
        <w:w w:val="96"/>
        <w:sz w:val="19"/>
        <w:szCs w:val="19"/>
        <w:lang w:val="en-US" w:eastAsia="en-US" w:bidi="ar-SA"/>
      </w:rPr>
    </w:lvl>
    <w:lvl w:ilvl="1" w:tplc="6714E04C">
      <w:numFmt w:val="bullet"/>
      <w:lvlText w:val=""/>
      <w:lvlJc w:val="left"/>
      <w:pPr>
        <w:ind w:left="1272" w:hanging="346"/>
      </w:pPr>
      <w:rPr>
        <w:rFonts w:ascii="Symbol" w:eastAsia="Symbol" w:hAnsi="Symbol" w:cs="Symbol" w:hint="default"/>
        <w:b w:val="0"/>
        <w:bCs w:val="0"/>
        <w:i w:val="0"/>
        <w:iCs w:val="0"/>
        <w:w w:val="96"/>
        <w:sz w:val="19"/>
        <w:szCs w:val="19"/>
        <w:lang w:val="en-US" w:eastAsia="en-US" w:bidi="ar-SA"/>
      </w:rPr>
    </w:lvl>
    <w:lvl w:ilvl="2" w:tplc="5014603C">
      <w:numFmt w:val="bullet"/>
      <w:lvlText w:val="•"/>
      <w:lvlJc w:val="left"/>
      <w:pPr>
        <w:ind w:left="2246" w:hanging="346"/>
      </w:pPr>
      <w:rPr>
        <w:rFonts w:hint="default"/>
        <w:lang w:val="en-US" w:eastAsia="en-US" w:bidi="ar-SA"/>
      </w:rPr>
    </w:lvl>
    <w:lvl w:ilvl="3" w:tplc="743C9144">
      <w:numFmt w:val="bullet"/>
      <w:lvlText w:val="•"/>
      <w:lvlJc w:val="left"/>
      <w:pPr>
        <w:ind w:left="3213" w:hanging="346"/>
      </w:pPr>
      <w:rPr>
        <w:rFonts w:hint="default"/>
        <w:lang w:val="en-US" w:eastAsia="en-US" w:bidi="ar-SA"/>
      </w:rPr>
    </w:lvl>
    <w:lvl w:ilvl="4" w:tplc="496E910A">
      <w:numFmt w:val="bullet"/>
      <w:lvlText w:val="•"/>
      <w:lvlJc w:val="left"/>
      <w:pPr>
        <w:ind w:left="4180" w:hanging="346"/>
      </w:pPr>
      <w:rPr>
        <w:rFonts w:hint="default"/>
        <w:lang w:val="en-US" w:eastAsia="en-US" w:bidi="ar-SA"/>
      </w:rPr>
    </w:lvl>
    <w:lvl w:ilvl="5" w:tplc="9AE0314A">
      <w:numFmt w:val="bullet"/>
      <w:lvlText w:val="•"/>
      <w:lvlJc w:val="left"/>
      <w:pPr>
        <w:ind w:left="5146" w:hanging="346"/>
      </w:pPr>
      <w:rPr>
        <w:rFonts w:hint="default"/>
        <w:lang w:val="en-US" w:eastAsia="en-US" w:bidi="ar-SA"/>
      </w:rPr>
    </w:lvl>
    <w:lvl w:ilvl="6" w:tplc="69C8B016">
      <w:numFmt w:val="bullet"/>
      <w:lvlText w:val="•"/>
      <w:lvlJc w:val="left"/>
      <w:pPr>
        <w:ind w:left="6113" w:hanging="346"/>
      </w:pPr>
      <w:rPr>
        <w:rFonts w:hint="default"/>
        <w:lang w:val="en-US" w:eastAsia="en-US" w:bidi="ar-SA"/>
      </w:rPr>
    </w:lvl>
    <w:lvl w:ilvl="7" w:tplc="C6121C88">
      <w:numFmt w:val="bullet"/>
      <w:lvlText w:val="•"/>
      <w:lvlJc w:val="left"/>
      <w:pPr>
        <w:ind w:left="7080" w:hanging="346"/>
      </w:pPr>
      <w:rPr>
        <w:rFonts w:hint="default"/>
        <w:lang w:val="en-US" w:eastAsia="en-US" w:bidi="ar-SA"/>
      </w:rPr>
    </w:lvl>
    <w:lvl w:ilvl="8" w:tplc="0BC4DFBA">
      <w:numFmt w:val="bullet"/>
      <w:lvlText w:val="•"/>
      <w:lvlJc w:val="left"/>
      <w:pPr>
        <w:ind w:left="8046" w:hanging="346"/>
      </w:pPr>
      <w:rPr>
        <w:rFonts w:hint="default"/>
        <w:lang w:val="en-US" w:eastAsia="en-US" w:bidi="ar-SA"/>
      </w:rPr>
    </w:lvl>
  </w:abstractNum>
  <w:abstractNum w:abstractNumId="2">
    <w:nsid w:val="48313435"/>
    <w:multiLevelType w:val="hybridMultilevel"/>
    <w:tmpl w:val="3A789C5C"/>
    <w:lvl w:ilvl="0" w:tplc="EC5AE848">
      <w:start w:val="1"/>
      <w:numFmt w:val="decimal"/>
      <w:lvlText w:val="%1."/>
      <w:lvlJc w:val="left"/>
      <w:pPr>
        <w:ind w:left="423" w:hanging="284"/>
      </w:pPr>
      <w:rPr>
        <w:rFonts w:ascii="Arial" w:eastAsia="Arial" w:hAnsi="Arial" w:cs="Arial" w:hint="default"/>
        <w:b/>
        <w:bCs/>
        <w:i w:val="0"/>
        <w:iCs w:val="0"/>
        <w:w w:val="99"/>
        <w:sz w:val="19"/>
        <w:szCs w:val="19"/>
        <w:lang w:val="en-US" w:eastAsia="en-US" w:bidi="ar-SA"/>
      </w:rPr>
    </w:lvl>
    <w:lvl w:ilvl="1" w:tplc="90D011DA">
      <w:numFmt w:val="bullet"/>
      <w:lvlText w:val="•"/>
      <w:lvlJc w:val="left"/>
      <w:pPr>
        <w:ind w:left="1376" w:hanging="284"/>
      </w:pPr>
      <w:rPr>
        <w:rFonts w:hint="default"/>
        <w:lang w:val="en-US" w:eastAsia="en-US" w:bidi="ar-SA"/>
      </w:rPr>
    </w:lvl>
    <w:lvl w:ilvl="2" w:tplc="1856F288">
      <w:numFmt w:val="bullet"/>
      <w:lvlText w:val="•"/>
      <w:lvlJc w:val="left"/>
      <w:pPr>
        <w:ind w:left="2332" w:hanging="284"/>
      </w:pPr>
      <w:rPr>
        <w:rFonts w:hint="default"/>
        <w:lang w:val="en-US" w:eastAsia="en-US" w:bidi="ar-SA"/>
      </w:rPr>
    </w:lvl>
    <w:lvl w:ilvl="3" w:tplc="D4EA94A2">
      <w:numFmt w:val="bullet"/>
      <w:lvlText w:val="•"/>
      <w:lvlJc w:val="left"/>
      <w:pPr>
        <w:ind w:left="3288" w:hanging="284"/>
      </w:pPr>
      <w:rPr>
        <w:rFonts w:hint="default"/>
        <w:lang w:val="en-US" w:eastAsia="en-US" w:bidi="ar-SA"/>
      </w:rPr>
    </w:lvl>
    <w:lvl w:ilvl="4" w:tplc="95F0B68C">
      <w:numFmt w:val="bullet"/>
      <w:lvlText w:val="•"/>
      <w:lvlJc w:val="left"/>
      <w:pPr>
        <w:ind w:left="4244" w:hanging="284"/>
      </w:pPr>
      <w:rPr>
        <w:rFonts w:hint="default"/>
        <w:lang w:val="en-US" w:eastAsia="en-US" w:bidi="ar-SA"/>
      </w:rPr>
    </w:lvl>
    <w:lvl w:ilvl="5" w:tplc="C3368B88">
      <w:numFmt w:val="bullet"/>
      <w:lvlText w:val="•"/>
      <w:lvlJc w:val="left"/>
      <w:pPr>
        <w:ind w:left="5200" w:hanging="284"/>
      </w:pPr>
      <w:rPr>
        <w:rFonts w:hint="default"/>
        <w:lang w:val="en-US" w:eastAsia="en-US" w:bidi="ar-SA"/>
      </w:rPr>
    </w:lvl>
    <w:lvl w:ilvl="6" w:tplc="58D8B4A0">
      <w:numFmt w:val="bullet"/>
      <w:lvlText w:val="•"/>
      <w:lvlJc w:val="left"/>
      <w:pPr>
        <w:ind w:left="6156" w:hanging="284"/>
      </w:pPr>
      <w:rPr>
        <w:rFonts w:hint="default"/>
        <w:lang w:val="en-US" w:eastAsia="en-US" w:bidi="ar-SA"/>
      </w:rPr>
    </w:lvl>
    <w:lvl w:ilvl="7" w:tplc="00701204">
      <w:numFmt w:val="bullet"/>
      <w:lvlText w:val="•"/>
      <w:lvlJc w:val="left"/>
      <w:pPr>
        <w:ind w:left="7112" w:hanging="284"/>
      </w:pPr>
      <w:rPr>
        <w:rFonts w:hint="default"/>
        <w:lang w:val="en-US" w:eastAsia="en-US" w:bidi="ar-SA"/>
      </w:rPr>
    </w:lvl>
    <w:lvl w:ilvl="8" w:tplc="701ED2C2">
      <w:numFmt w:val="bullet"/>
      <w:lvlText w:val="•"/>
      <w:lvlJc w:val="left"/>
      <w:pPr>
        <w:ind w:left="8068" w:hanging="284"/>
      </w:pPr>
      <w:rPr>
        <w:rFonts w:hint="default"/>
        <w:lang w:val="en-US" w:eastAsia="en-US" w:bidi="ar-SA"/>
      </w:rPr>
    </w:lvl>
  </w:abstractNum>
  <w:abstractNum w:abstractNumId="3">
    <w:nsid w:val="4E60707A"/>
    <w:multiLevelType w:val="hybridMultilevel"/>
    <w:tmpl w:val="89E0C3FA"/>
    <w:lvl w:ilvl="0" w:tplc="EA5A41CA">
      <w:numFmt w:val="bullet"/>
      <w:lvlText w:val=""/>
      <w:lvlJc w:val="left"/>
      <w:pPr>
        <w:ind w:left="848" w:hanging="281"/>
      </w:pPr>
      <w:rPr>
        <w:rFonts w:ascii="Symbol" w:eastAsia="Symbol" w:hAnsi="Symbol" w:cs="Symbol" w:hint="default"/>
        <w:b w:val="0"/>
        <w:bCs w:val="0"/>
        <w:i w:val="0"/>
        <w:iCs w:val="0"/>
        <w:w w:val="96"/>
        <w:sz w:val="19"/>
        <w:szCs w:val="19"/>
        <w:lang w:val="en-US" w:eastAsia="en-US" w:bidi="ar-SA"/>
      </w:rPr>
    </w:lvl>
    <w:lvl w:ilvl="1" w:tplc="42088100">
      <w:numFmt w:val="bullet"/>
      <w:lvlText w:val="•"/>
      <w:lvlJc w:val="left"/>
      <w:pPr>
        <w:ind w:left="1754" w:hanging="281"/>
      </w:pPr>
      <w:rPr>
        <w:rFonts w:hint="default"/>
        <w:lang w:val="en-US" w:eastAsia="en-US" w:bidi="ar-SA"/>
      </w:rPr>
    </w:lvl>
    <w:lvl w:ilvl="2" w:tplc="7A48A464">
      <w:numFmt w:val="bullet"/>
      <w:lvlText w:val="•"/>
      <w:lvlJc w:val="left"/>
      <w:pPr>
        <w:ind w:left="2668" w:hanging="281"/>
      </w:pPr>
      <w:rPr>
        <w:rFonts w:hint="default"/>
        <w:lang w:val="en-US" w:eastAsia="en-US" w:bidi="ar-SA"/>
      </w:rPr>
    </w:lvl>
    <w:lvl w:ilvl="3" w:tplc="3CF4ED7A">
      <w:numFmt w:val="bullet"/>
      <w:lvlText w:val="•"/>
      <w:lvlJc w:val="left"/>
      <w:pPr>
        <w:ind w:left="3582" w:hanging="281"/>
      </w:pPr>
      <w:rPr>
        <w:rFonts w:hint="default"/>
        <w:lang w:val="en-US" w:eastAsia="en-US" w:bidi="ar-SA"/>
      </w:rPr>
    </w:lvl>
    <w:lvl w:ilvl="4" w:tplc="F710AD58">
      <w:numFmt w:val="bullet"/>
      <w:lvlText w:val="•"/>
      <w:lvlJc w:val="left"/>
      <w:pPr>
        <w:ind w:left="4496" w:hanging="281"/>
      </w:pPr>
      <w:rPr>
        <w:rFonts w:hint="default"/>
        <w:lang w:val="en-US" w:eastAsia="en-US" w:bidi="ar-SA"/>
      </w:rPr>
    </w:lvl>
    <w:lvl w:ilvl="5" w:tplc="B4C20EBC">
      <w:numFmt w:val="bullet"/>
      <w:lvlText w:val="•"/>
      <w:lvlJc w:val="left"/>
      <w:pPr>
        <w:ind w:left="5410" w:hanging="281"/>
      </w:pPr>
      <w:rPr>
        <w:rFonts w:hint="default"/>
        <w:lang w:val="en-US" w:eastAsia="en-US" w:bidi="ar-SA"/>
      </w:rPr>
    </w:lvl>
    <w:lvl w:ilvl="6" w:tplc="9F9E15C4">
      <w:numFmt w:val="bullet"/>
      <w:lvlText w:val="•"/>
      <w:lvlJc w:val="left"/>
      <w:pPr>
        <w:ind w:left="6324" w:hanging="281"/>
      </w:pPr>
      <w:rPr>
        <w:rFonts w:hint="default"/>
        <w:lang w:val="en-US" w:eastAsia="en-US" w:bidi="ar-SA"/>
      </w:rPr>
    </w:lvl>
    <w:lvl w:ilvl="7" w:tplc="788898D0">
      <w:numFmt w:val="bullet"/>
      <w:lvlText w:val="•"/>
      <w:lvlJc w:val="left"/>
      <w:pPr>
        <w:ind w:left="7238" w:hanging="281"/>
      </w:pPr>
      <w:rPr>
        <w:rFonts w:hint="default"/>
        <w:lang w:val="en-US" w:eastAsia="en-US" w:bidi="ar-SA"/>
      </w:rPr>
    </w:lvl>
    <w:lvl w:ilvl="8" w:tplc="E4F675A0">
      <w:numFmt w:val="bullet"/>
      <w:lvlText w:val="•"/>
      <w:lvlJc w:val="left"/>
      <w:pPr>
        <w:ind w:left="8152" w:hanging="281"/>
      </w:pPr>
      <w:rPr>
        <w:rFonts w:hint="default"/>
        <w:lang w:val="en-US" w:eastAsia="en-US" w:bidi="ar-SA"/>
      </w:rPr>
    </w:lvl>
  </w:abstractNum>
  <w:abstractNum w:abstractNumId="4">
    <w:nsid w:val="6EA176F8"/>
    <w:multiLevelType w:val="hybridMultilevel"/>
    <w:tmpl w:val="D2860746"/>
    <w:lvl w:ilvl="0" w:tplc="5EE0345A">
      <w:start w:val="1"/>
      <w:numFmt w:val="decimal"/>
      <w:lvlText w:val="%1."/>
      <w:lvlJc w:val="left"/>
      <w:pPr>
        <w:ind w:left="451" w:hanging="351"/>
      </w:pPr>
      <w:rPr>
        <w:rFonts w:ascii="Arial" w:eastAsia="Arial" w:hAnsi="Arial" w:cs="Arial" w:hint="default"/>
        <w:b/>
        <w:bCs/>
        <w:i w:val="0"/>
        <w:iCs w:val="0"/>
        <w:spacing w:val="-3"/>
        <w:w w:val="99"/>
        <w:sz w:val="19"/>
        <w:szCs w:val="19"/>
        <w:lang w:val="en-US" w:eastAsia="en-US" w:bidi="ar-SA"/>
      </w:rPr>
    </w:lvl>
    <w:lvl w:ilvl="1" w:tplc="BEE63876">
      <w:numFmt w:val="bullet"/>
      <w:lvlText w:val=""/>
      <w:lvlJc w:val="left"/>
      <w:pPr>
        <w:ind w:left="848" w:hanging="281"/>
      </w:pPr>
      <w:rPr>
        <w:rFonts w:ascii="Symbol" w:eastAsia="Symbol" w:hAnsi="Symbol" w:cs="Symbol" w:hint="default"/>
        <w:b w:val="0"/>
        <w:bCs w:val="0"/>
        <w:i w:val="0"/>
        <w:iCs w:val="0"/>
        <w:w w:val="99"/>
        <w:sz w:val="19"/>
        <w:szCs w:val="19"/>
        <w:lang w:val="en-US" w:eastAsia="en-US" w:bidi="ar-SA"/>
      </w:rPr>
    </w:lvl>
    <w:lvl w:ilvl="2" w:tplc="871A6024">
      <w:numFmt w:val="bullet"/>
      <w:lvlText w:val="o"/>
      <w:lvlJc w:val="left"/>
      <w:pPr>
        <w:ind w:left="1580" w:hanging="360"/>
      </w:pPr>
      <w:rPr>
        <w:rFonts w:ascii="Courier New" w:eastAsia="Courier New" w:hAnsi="Courier New" w:cs="Courier New" w:hint="default"/>
        <w:b w:val="0"/>
        <w:bCs w:val="0"/>
        <w:i w:val="0"/>
        <w:iCs w:val="0"/>
        <w:w w:val="99"/>
        <w:sz w:val="19"/>
        <w:szCs w:val="19"/>
        <w:lang w:val="en-US" w:eastAsia="en-US" w:bidi="ar-SA"/>
      </w:rPr>
    </w:lvl>
    <w:lvl w:ilvl="3" w:tplc="C5CA8AD4">
      <w:numFmt w:val="bullet"/>
      <w:lvlText w:val="•"/>
      <w:lvlJc w:val="left"/>
      <w:pPr>
        <w:ind w:left="1580" w:hanging="360"/>
      </w:pPr>
      <w:rPr>
        <w:rFonts w:hint="default"/>
        <w:lang w:val="en-US" w:eastAsia="en-US" w:bidi="ar-SA"/>
      </w:rPr>
    </w:lvl>
    <w:lvl w:ilvl="4" w:tplc="616CDE2C">
      <w:numFmt w:val="bullet"/>
      <w:lvlText w:val="•"/>
      <w:lvlJc w:val="left"/>
      <w:pPr>
        <w:ind w:left="2780" w:hanging="360"/>
      </w:pPr>
      <w:rPr>
        <w:rFonts w:hint="default"/>
        <w:lang w:val="en-US" w:eastAsia="en-US" w:bidi="ar-SA"/>
      </w:rPr>
    </w:lvl>
    <w:lvl w:ilvl="5" w:tplc="C1EC344E">
      <w:numFmt w:val="bullet"/>
      <w:lvlText w:val="•"/>
      <w:lvlJc w:val="left"/>
      <w:pPr>
        <w:ind w:left="3980" w:hanging="360"/>
      </w:pPr>
      <w:rPr>
        <w:rFonts w:hint="default"/>
        <w:lang w:val="en-US" w:eastAsia="en-US" w:bidi="ar-SA"/>
      </w:rPr>
    </w:lvl>
    <w:lvl w:ilvl="6" w:tplc="EC1CAED4">
      <w:numFmt w:val="bullet"/>
      <w:lvlText w:val="•"/>
      <w:lvlJc w:val="left"/>
      <w:pPr>
        <w:ind w:left="5180" w:hanging="360"/>
      </w:pPr>
      <w:rPr>
        <w:rFonts w:hint="default"/>
        <w:lang w:val="en-US" w:eastAsia="en-US" w:bidi="ar-SA"/>
      </w:rPr>
    </w:lvl>
    <w:lvl w:ilvl="7" w:tplc="840E8DA2">
      <w:numFmt w:val="bullet"/>
      <w:lvlText w:val="•"/>
      <w:lvlJc w:val="left"/>
      <w:pPr>
        <w:ind w:left="6380" w:hanging="360"/>
      </w:pPr>
      <w:rPr>
        <w:rFonts w:hint="default"/>
        <w:lang w:val="en-US" w:eastAsia="en-US" w:bidi="ar-SA"/>
      </w:rPr>
    </w:lvl>
    <w:lvl w:ilvl="8" w:tplc="045810EC">
      <w:numFmt w:val="bullet"/>
      <w:lvlText w:val="•"/>
      <w:lvlJc w:val="left"/>
      <w:pPr>
        <w:ind w:left="7580" w:hanging="360"/>
      </w:pPr>
      <w:rPr>
        <w:rFonts w:hint="default"/>
        <w:lang w:val="en-US" w:eastAsia="en-US" w:bidi="ar-SA"/>
      </w:rPr>
    </w:lvl>
  </w:abstractNum>
  <w:abstractNum w:abstractNumId="5">
    <w:nsid w:val="756A3879"/>
    <w:multiLevelType w:val="hybridMultilevel"/>
    <w:tmpl w:val="79BA67C2"/>
    <w:lvl w:ilvl="0" w:tplc="E8662C10">
      <w:numFmt w:val="bullet"/>
      <w:lvlText w:val=""/>
      <w:lvlJc w:val="left"/>
      <w:pPr>
        <w:ind w:left="848" w:hanging="281"/>
      </w:pPr>
      <w:rPr>
        <w:rFonts w:ascii="Symbol" w:eastAsia="Symbol" w:hAnsi="Symbol" w:cs="Symbol" w:hint="default"/>
        <w:b w:val="0"/>
        <w:bCs w:val="0"/>
        <w:i w:val="0"/>
        <w:iCs w:val="0"/>
        <w:w w:val="99"/>
        <w:sz w:val="19"/>
        <w:szCs w:val="19"/>
        <w:lang w:val="en-US" w:eastAsia="en-US" w:bidi="ar-SA"/>
      </w:rPr>
    </w:lvl>
    <w:lvl w:ilvl="1" w:tplc="EF40189C">
      <w:numFmt w:val="bullet"/>
      <w:lvlText w:val="o"/>
      <w:lvlJc w:val="left"/>
      <w:pPr>
        <w:ind w:left="1579" w:hanging="360"/>
      </w:pPr>
      <w:rPr>
        <w:rFonts w:ascii="Courier New" w:eastAsia="Courier New" w:hAnsi="Courier New" w:cs="Courier New" w:hint="default"/>
        <w:b w:val="0"/>
        <w:bCs w:val="0"/>
        <w:i w:val="0"/>
        <w:iCs w:val="0"/>
        <w:w w:val="99"/>
        <w:sz w:val="19"/>
        <w:szCs w:val="19"/>
        <w:lang w:val="en-US" w:eastAsia="en-US" w:bidi="ar-SA"/>
      </w:rPr>
    </w:lvl>
    <w:lvl w:ilvl="2" w:tplc="9BF0DCB0">
      <w:numFmt w:val="bullet"/>
      <w:lvlText w:val="•"/>
      <w:lvlJc w:val="left"/>
      <w:pPr>
        <w:ind w:left="2513" w:hanging="360"/>
      </w:pPr>
      <w:rPr>
        <w:rFonts w:hint="default"/>
        <w:lang w:val="en-US" w:eastAsia="en-US" w:bidi="ar-SA"/>
      </w:rPr>
    </w:lvl>
    <w:lvl w:ilvl="3" w:tplc="E4E2580E">
      <w:numFmt w:val="bullet"/>
      <w:lvlText w:val="•"/>
      <w:lvlJc w:val="left"/>
      <w:pPr>
        <w:ind w:left="3446" w:hanging="360"/>
      </w:pPr>
      <w:rPr>
        <w:rFonts w:hint="default"/>
        <w:lang w:val="en-US" w:eastAsia="en-US" w:bidi="ar-SA"/>
      </w:rPr>
    </w:lvl>
    <w:lvl w:ilvl="4" w:tplc="980EF7E0">
      <w:numFmt w:val="bullet"/>
      <w:lvlText w:val="•"/>
      <w:lvlJc w:val="left"/>
      <w:pPr>
        <w:ind w:left="4380" w:hanging="360"/>
      </w:pPr>
      <w:rPr>
        <w:rFonts w:hint="default"/>
        <w:lang w:val="en-US" w:eastAsia="en-US" w:bidi="ar-SA"/>
      </w:rPr>
    </w:lvl>
    <w:lvl w:ilvl="5" w:tplc="F96891E4">
      <w:numFmt w:val="bullet"/>
      <w:lvlText w:val="•"/>
      <w:lvlJc w:val="left"/>
      <w:pPr>
        <w:ind w:left="5313" w:hanging="360"/>
      </w:pPr>
      <w:rPr>
        <w:rFonts w:hint="default"/>
        <w:lang w:val="en-US" w:eastAsia="en-US" w:bidi="ar-SA"/>
      </w:rPr>
    </w:lvl>
    <w:lvl w:ilvl="6" w:tplc="57E42A42">
      <w:numFmt w:val="bullet"/>
      <w:lvlText w:val="•"/>
      <w:lvlJc w:val="left"/>
      <w:pPr>
        <w:ind w:left="6246" w:hanging="360"/>
      </w:pPr>
      <w:rPr>
        <w:rFonts w:hint="default"/>
        <w:lang w:val="en-US" w:eastAsia="en-US" w:bidi="ar-SA"/>
      </w:rPr>
    </w:lvl>
    <w:lvl w:ilvl="7" w:tplc="88082526">
      <w:numFmt w:val="bullet"/>
      <w:lvlText w:val="•"/>
      <w:lvlJc w:val="left"/>
      <w:pPr>
        <w:ind w:left="7180" w:hanging="360"/>
      </w:pPr>
      <w:rPr>
        <w:rFonts w:hint="default"/>
        <w:lang w:val="en-US" w:eastAsia="en-US" w:bidi="ar-SA"/>
      </w:rPr>
    </w:lvl>
    <w:lvl w:ilvl="8" w:tplc="A72E2648">
      <w:numFmt w:val="bullet"/>
      <w:lvlText w:val="•"/>
      <w:lvlJc w:val="left"/>
      <w:pPr>
        <w:ind w:left="8113" w:hanging="360"/>
      </w:pPr>
      <w:rPr>
        <w:rFonts w:hint="default"/>
        <w:lang w:val="en-US" w:eastAsia="en-US" w:bidi="ar-SA"/>
      </w:rPr>
    </w:lvl>
  </w:abstractNum>
  <w:abstractNum w:abstractNumId="6">
    <w:nsid w:val="7FD136D7"/>
    <w:multiLevelType w:val="hybridMultilevel"/>
    <w:tmpl w:val="4426CAB6"/>
    <w:lvl w:ilvl="0" w:tplc="24D8B8C4">
      <w:numFmt w:val="bullet"/>
      <w:lvlText w:val=""/>
      <w:lvlJc w:val="left"/>
      <w:pPr>
        <w:ind w:left="1054" w:hanging="281"/>
      </w:pPr>
      <w:rPr>
        <w:rFonts w:ascii="Symbol" w:eastAsia="Symbol" w:hAnsi="Symbol" w:cs="Symbol" w:hint="default"/>
        <w:b w:val="0"/>
        <w:bCs w:val="0"/>
        <w:i w:val="0"/>
        <w:iCs w:val="0"/>
        <w:w w:val="96"/>
        <w:sz w:val="19"/>
        <w:szCs w:val="19"/>
        <w:lang w:val="en-US" w:eastAsia="en-US" w:bidi="ar-SA"/>
      </w:rPr>
    </w:lvl>
    <w:lvl w:ilvl="1" w:tplc="BA1428FC">
      <w:numFmt w:val="bullet"/>
      <w:lvlText w:val="•"/>
      <w:lvlJc w:val="left"/>
      <w:pPr>
        <w:ind w:left="1952" w:hanging="281"/>
      </w:pPr>
      <w:rPr>
        <w:rFonts w:hint="default"/>
        <w:lang w:val="en-US" w:eastAsia="en-US" w:bidi="ar-SA"/>
      </w:rPr>
    </w:lvl>
    <w:lvl w:ilvl="2" w:tplc="ACACE878">
      <w:numFmt w:val="bullet"/>
      <w:lvlText w:val="•"/>
      <w:lvlJc w:val="left"/>
      <w:pPr>
        <w:ind w:left="2844" w:hanging="281"/>
      </w:pPr>
      <w:rPr>
        <w:rFonts w:hint="default"/>
        <w:lang w:val="en-US" w:eastAsia="en-US" w:bidi="ar-SA"/>
      </w:rPr>
    </w:lvl>
    <w:lvl w:ilvl="3" w:tplc="DCA2CB64">
      <w:numFmt w:val="bullet"/>
      <w:lvlText w:val="•"/>
      <w:lvlJc w:val="left"/>
      <w:pPr>
        <w:ind w:left="3736" w:hanging="281"/>
      </w:pPr>
      <w:rPr>
        <w:rFonts w:hint="default"/>
        <w:lang w:val="en-US" w:eastAsia="en-US" w:bidi="ar-SA"/>
      </w:rPr>
    </w:lvl>
    <w:lvl w:ilvl="4" w:tplc="5C5E11BE">
      <w:numFmt w:val="bullet"/>
      <w:lvlText w:val="•"/>
      <w:lvlJc w:val="left"/>
      <w:pPr>
        <w:ind w:left="4628" w:hanging="281"/>
      </w:pPr>
      <w:rPr>
        <w:rFonts w:hint="default"/>
        <w:lang w:val="en-US" w:eastAsia="en-US" w:bidi="ar-SA"/>
      </w:rPr>
    </w:lvl>
    <w:lvl w:ilvl="5" w:tplc="E99A6E42">
      <w:numFmt w:val="bullet"/>
      <w:lvlText w:val="•"/>
      <w:lvlJc w:val="left"/>
      <w:pPr>
        <w:ind w:left="5520" w:hanging="281"/>
      </w:pPr>
      <w:rPr>
        <w:rFonts w:hint="default"/>
        <w:lang w:val="en-US" w:eastAsia="en-US" w:bidi="ar-SA"/>
      </w:rPr>
    </w:lvl>
    <w:lvl w:ilvl="6" w:tplc="6902D648">
      <w:numFmt w:val="bullet"/>
      <w:lvlText w:val="•"/>
      <w:lvlJc w:val="left"/>
      <w:pPr>
        <w:ind w:left="6412" w:hanging="281"/>
      </w:pPr>
      <w:rPr>
        <w:rFonts w:hint="default"/>
        <w:lang w:val="en-US" w:eastAsia="en-US" w:bidi="ar-SA"/>
      </w:rPr>
    </w:lvl>
    <w:lvl w:ilvl="7" w:tplc="0FD22BBE">
      <w:numFmt w:val="bullet"/>
      <w:lvlText w:val="•"/>
      <w:lvlJc w:val="left"/>
      <w:pPr>
        <w:ind w:left="7304" w:hanging="281"/>
      </w:pPr>
      <w:rPr>
        <w:rFonts w:hint="default"/>
        <w:lang w:val="en-US" w:eastAsia="en-US" w:bidi="ar-SA"/>
      </w:rPr>
    </w:lvl>
    <w:lvl w:ilvl="8" w:tplc="60785EE6">
      <w:numFmt w:val="bullet"/>
      <w:lvlText w:val="•"/>
      <w:lvlJc w:val="left"/>
      <w:pPr>
        <w:ind w:left="8196" w:hanging="281"/>
      </w:pPr>
      <w:rPr>
        <w:rFonts w:hint="default"/>
        <w:lang w:val="en-US" w:eastAsia="en-US" w:bidi="ar-SA"/>
      </w:rPr>
    </w:lvl>
  </w:abstractNum>
  <w:num w:numId="1">
    <w:abstractNumId w:val="1"/>
  </w:num>
  <w:num w:numId="2">
    <w:abstractNumId w:val="2"/>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DC320F"/>
    <w:rsid w:val="00044560"/>
    <w:rsid w:val="00083B2C"/>
    <w:rsid w:val="00095B17"/>
    <w:rsid w:val="000C661E"/>
    <w:rsid w:val="000D133D"/>
    <w:rsid w:val="000D62C3"/>
    <w:rsid w:val="001C2926"/>
    <w:rsid w:val="00200AC9"/>
    <w:rsid w:val="002F34E5"/>
    <w:rsid w:val="00351E0D"/>
    <w:rsid w:val="00453308"/>
    <w:rsid w:val="004C11E8"/>
    <w:rsid w:val="00582AA2"/>
    <w:rsid w:val="005D57D7"/>
    <w:rsid w:val="00675F0D"/>
    <w:rsid w:val="006B6113"/>
    <w:rsid w:val="008047B0"/>
    <w:rsid w:val="00813F09"/>
    <w:rsid w:val="00860BFF"/>
    <w:rsid w:val="0086602C"/>
    <w:rsid w:val="00955EE4"/>
    <w:rsid w:val="009E68A5"/>
    <w:rsid w:val="00A17F6E"/>
    <w:rsid w:val="00A22FF7"/>
    <w:rsid w:val="00A367DE"/>
    <w:rsid w:val="00A607E8"/>
    <w:rsid w:val="00A75620"/>
    <w:rsid w:val="00B8445B"/>
    <w:rsid w:val="00B923EB"/>
    <w:rsid w:val="00BA4172"/>
    <w:rsid w:val="00C20859"/>
    <w:rsid w:val="00C77D78"/>
    <w:rsid w:val="00CF4E26"/>
    <w:rsid w:val="00D771C0"/>
    <w:rsid w:val="00D87A10"/>
    <w:rsid w:val="00D92D3B"/>
    <w:rsid w:val="00DA0B70"/>
    <w:rsid w:val="00DC320F"/>
    <w:rsid w:val="00DE38BF"/>
    <w:rsid w:val="00EB7D64"/>
    <w:rsid w:val="00F171D6"/>
    <w:rsid w:val="00FD2F43"/>
    <w:rsid w:val="00FD6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03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rPr>
  </w:style>
  <w:style w:type="paragraph" w:styleId="1">
    <w:name w:val="heading 1"/>
    <w:basedOn w:val="a"/>
    <w:uiPriority w:val="9"/>
    <w:qFormat/>
    <w:pPr>
      <w:spacing w:before="92"/>
      <w:ind w:left="451"/>
      <w:outlineLvl w:val="0"/>
    </w:pPr>
    <w:rPr>
      <w:b/>
      <w:bCs/>
      <w:sz w:val="27"/>
      <w:szCs w:val="27"/>
    </w:rPr>
  </w:style>
  <w:style w:type="paragraph" w:styleId="2">
    <w:name w:val="heading 2"/>
    <w:basedOn w:val="a"/>
    <w:uiPriority w:val="9"/>
    <w:unhideWhenUsed/>
    <w:qFormat/>
    <w:pPr>
      <w:ind w:left="451" w:hanging="351"/>
      <w:outlineLvl w:val="1"/>
    </w:pPr>
    <w:rPr>
      <w:b/>
      <w:bCs/>
      <w:sz w:val="19"/>
      <w:szCs w:val="19"/>
    </w:rPr>
  </w:style>
  <w:style w:type="paragraph" w:styleId="3">
    <w:name w:val="heading 3"/>
    <w:basedOn w:val="a"/>
    <w:uiPriority w:val="9"/>
    <w:unhideWhenUsed/>
    <w:qFormat/>
    <w:pPr>
      <w:ind w:left="451"/>
      <w:jc w:val="both"/>
      <w:outlineLvl w:val="2"/>
    </w:pPr>
    <w:rPr>
      <w:b/>
      <w:bCs/>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0"/>
    <w:qFormat/>
    <w:pPr>
      <w:spacing w:before="86"/>
      <w:ind w:left="463"/>
    </w:pPr>
    <w:rPr>
      <w:b/>
      <w:bCs/>
      <w:sz w:val="46"/>
      <w:szCs w:val="46"/>
    </w:rPr>
  </w:style>
  <w:style w:type="paragraph" w:styleId="a5">
    <w:name w:val="List Paragraph"/>
    <w:basedOn w:val="a"/>
    <w:uiPriority w:val="1"/>
    <w:qFormat/>
    <w:pPr>
      <w:ind w:left="1160" w:hanging="281"/>
    </w:pPr>
  </w:style>
  <w:style w:type="paragraph" w:customStyle="1" w:styleId="TableParagraph">
    <w:name w:val="Table Paragraph"/>
    <w:basedOn w:val="a"/>
    <w:uiPriority w:val="1"/>
    <w:qFormat/>
  </w:style>
  <w:style w:type="paragraph" w:styleId="a6">
    <w:name w:val="header"/>
    <w:basedOn w:val="a"/>
    <w:link w:val="a7"/>
    <w:uiPriority w:val="99"/>
    <w:unhideWhenUsed/>
    <w:rsid w:val="00200AC9"/>
    <w:pPr>
      <w:tabs>
        <w:tab w:val="center" w:pos="4703"/>
        <w:tab w:val="right" w:pos="9406"/>
      </w:tabs>
    </w:pPr>
  </w:style>
  <w:style w:type="character" w:customStyle="1" w:styleId="a7">
    <w:name w:val="Верхний колонтитул Знак"/>
    <w:basedOn w:val="a0"/>
    <w:link w:val="a6"/>
    <w:uiPriority w:val="99"/>
    <w:rsid w:val="00200AC9"/>
    <w:rPr>
      <w:rFonts w:ascii="Arial" w:eastAsia="Arial" w:hAnsi="Arial" w:cs="Arial"/>
    </w:rPr>
  </w:style>
  <w:style w:type="paragraph" w:styleId="a8">
    <w:name w:val="footer"/>
    <w:basedOn w:val="a"/>
    <w:link w:val="a9"/>
    <w:uiPriority w:val="99"/>
    <w:unhideWhenUsed/>
    <w:rsid w:val="00200AC9"/>
    <w:pPr>
      <w:tabs>
        <w:tab w:val="center" w:pos="4703"/>
        <w:tab w:val="right" w:pos="9406"/>
      </w:tabs>
    </w:pPr>
  </w:style>
  <w:style w:type="character" w:customStyle="1" w:styleId="a9">
    <w:name w:val="Нижний колонтитул Знак"/>
    <w:basedOn w:val="a0"/>
    <w:link w:val="a8"/>
    <w:uiPriority w:val="99"/>
    <w:rsid w:val="00200AC9"/>
    <w:rPr>
      <w:rFonts w:ascii="Arial" w:eastAsia="Arial" w:hAnsi="Arial" w:cs="Arial"/>
    </w:rPr>
  </w:style>
  <w:style w:type="paragraph" w:styleId="aa">
    <w:name w:val="footnote text"/>
    <w:basedOn w:val="a"/>
    <w:link w:val="ab"/>
    <w:uiPriority w:val="99"/>
    <w:semiHidden/>
    <w:unhideWhenUsed/>
    <w:rsid w:val="00200AC9"/>
    <w:rPr>
      <w:sz w:val="20"/>
      <w:szCs w:val="20"/>
    </w:rPr>
  </w:style>
  <w:style w:type="character" w:customStyle="1" w:styleId="ab">
    <w:name w:val="Текст сноски Знак"/>
    <w:basedOn w:val="a0"/>
    <w:link w:val="aa"/>
    <w:uiPriority w:val="99"/>
    <w:semiHidden/>
    <w:rsid w:val="00200AC9"/>
    <w:rPr>
      <w:rFonts w:ascii="Arial" w:eastAsia="Arial" w:hAnsi="Arial" w:cs="Arial"/>
      <w:sz w:val="20"/>
      <w:szCs w:val="20"/>
    </w:rPr>
  </w:style>
  <w:style w:type="character" w:styleId="ac">
    <w:name w:val="footnote reference"/>
    <w:basedOn w:val="a0"/>
    <w:uiPriority w:val="99"/>
    <w:semiHidden/>
    <w:unhideWhenUsed/>
    <w:rsid w:val="00200AC9"/>
    <w:rPr>
      <w:vertAlign w:val="superscript"/>
    </w:rPr>
  </w:style>
  <w:style w:type="character" w:styleId="ad">
    <w:name w:val="annotation reference"/>
    <w:basedOn w:val="a0"/>
    <w:uiPriority w:val="99"/>
    <w:semiHidden/>
    <w:unhideWhenUsed/>
    <w:rsid w:val="00B8445B"/>
    <w:rPr>
      <w:sz w:val="16"/>
      <w:szCs w:val="16"/>
    </w:rPr>
  </w:style>
  <w:style w:type="paragraph" w:styleId="ae">
    <w:name w:val="annotation text"/>
    <w:basedOn w:val="a"/>
    <w:link w:val="af"/>
    <w:uiPriority w:val="99"/>
    <w:semiHidden/>
    <w:unhideWhenUsed/>
    <w:rsid w:val="00B8445B"/>
    <w:rPr>
      <w:sz w:val="20"/>
      <w:szCs w:val="20"/>
    </w:rPr>
  </w:style>
  <w:style w:type="character" w:customStyle="1" w:styleId="af">
    <w:name w:val="Текст примечания Знак"/>
    <w:basedOn w:val="a0"/>
    <w:link w:val="ae"/>
    <w:uiPriority w:val="99"/>
    <w:semiHidden/>
    <w:rsid w:val="00B8445B"/>
    <w:rPr>
      <w:rFonts w:ascii="Arial" w:eastAsia="Arial" w:hAnsi="Arial" w:cs="Arial"/>
      <w:sz w:val="20"/>
      <w:szCs w:val="20"/>
    </w:rPr>
  </w:style>
  <w:style w:type="paragraph" w:styleId="af0">
    <w:name w:val="annotation subject"/>
    <w:basedOn w:val="ae"/>
    <w:next w:val="ae"/>
    <w:link w:val="af1"/>
    <w:uiPriority w:val="99"/>
    <w:semiHidden/>
    <w:unhideWhenUsed/>
    <w:rsid w:val="00B8445B"/>
    <w:rPr>
      <w:b/>
      <w:bCs/>
    </w:rPr>
  </w:style>
  <w:style w:type="character" w:customStyle="1" w:styleId="af1">
    <w:name w:val="Тема примечания Знак"/>
    <w:basedOn w:val="af"/>
    <w:link w:val="af0"/>
    <w:uiPriority w:val="99"/>
    <w:semiHidden/>
    <w:rsid w:val="00B8445B"/>
    <w:rPr>
      <w:rFonts w:ascii="Arial" w:eastAsia="Arial" w:hAnsi="Arial" w:cs="Arial"/>
      <w:b/>
      <w:bCs/>
      <w:sz w:val="20"/>
      <w:szCs w:val="20"/>
    </w:rPr>
  </w:style>
  <w:style w:type="paragraph" w:styleId="af2">
    <w:name w:val="Balloon Text"/>
    <w:basedOn w:val="a"/>
    <w:link w:val="af3"/>
    <w:uiPriority w:val="99"/>
    <w:semiHidden/>
    <w:unhideWhenUsed/>
    <w:rsid w:val="00B8445B"/>
    <w:rPr>
      <w:rFonts w:ascii="Segoe UI" w:hAnsi="Segoe UI" w:cs="Segoe UI"/>
      <w:sz w:val="18"/>
      <w:szCs w:val="18"/>
    </w:rPr>
  </w:style>
  <w:style w:type="character" w:customStyle="1" w:styleId="af3">
    <w:name w:val="Текст выноски Знак"/>
    <w:basedOn w:val="a0"/>
    <w:link w:val="af2"/>
    <w:uiPriority w:val="99"/>
    <w:semiHidden/>
    <w:rsid w:val="00B8445B"/>
    <w:rPr>
      <w:rFonts w:ascii="Segoe UI" w:eastAsia="Arial" w:hAnsi="Segoe UI" w:cs="Segoe UI"/>
      <w:sz w:val="18"/>
      <w:szCs w:val="18"/>
    </w:rPr>
  </w:style>
  <w:style w:type="paragraph" w:styleId="af4">
    <w:name w:val="Revision"/>
    <w:hidden/>
    <w:uiPriority w:val="99"/>
    <w:semiHidden/>
    <w:rsid w:val="00B8445B"/>
    <w:pPr>
      <w:widowControl/>
      <w:autoSpaceDE/>
      <w:autoSpaceDN/>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Arial" w:eastAsia="Arial" w:hAnsi="Arial" w:cs="Arial"/>
    </w:rPr>
  </w:style>
  <w:style w:type="paragraph" w:styleId="1">
    <w:name w:val="heading 1"/>
    <w:basedOn w:val="a"/>
    <w:uiPriority w:val="9"/>
    <w:qFormat/>
    <w:pPr>
      <w:spacing w:before="92"/>
      <w:ind w:left="451"/>
      <w:outlineLvl w:val="0"/>
    </w:pPr>
    <w:rPr>
      <w:b/>
      <w:bCs/>
      <w:sz w:val="27"/>
      <w:szCs w:val="27"/>
    </w:rPr>
  </w:style>
  <w:style w:type="paragraph" w:styleId="2">
    <w:name w:val="heading 2"/>
    <w:basedOn w:val="a"/>
    <w:uiPriority w:val="9"/>
    <w:unhideWhenUsed/>
    <w:qFormat/>
    <w:pPr>
      <w:ind w:left="451" w:hanging="351"/>
      <w:outlineLvl w:val="1"/>
    </w:pPr>
    <w:rPr>
      <w:b/>
      <w:bCs/>
      <w:sz w:val="19"/>
      <w:szCs w:val="19"/>
    </w:rPr>
  </w:style>
  <w:style w:type="paragraph" w:styleId="3">
    <w:name w:val="heading 3"/>
    <w:basedOn w:val="a"/>
    <w:uiPriority w:val="9"/>
    <w:unhideWhenUsed/>
    <w:qFormat/>
    <w:pPr>
      <w:ind w:left="451"/>
      <w:jc w:val="both"/>
      <w:outlineLvl w:val="2"/>
    </w:pPr>
    <w:rPr>
      <w:b/>
      <w:bCs/>
      <w:i/>
      <w:iCs/>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9"/>
      <w:szCs w:val="19"/>
    </w:rPr>
  </w:style>
  <w:style w:type="paragraph" w:styleId="a4">
    <w:name w:val="Title"/>
    <w:basedOn w:val="a"/>
    <w:uiPriority w:val="10"/>
    <w:qFormat/>
    <w:pPr>
      <w:spacing w:before="86"/>
      <w:ind w:left="463"/>
    </w:pPr>
    <w:rPr>
      <w:b/>
      <w:bCs/>
      <w:sz w:val="46"/>
      <w:szCs w:val="46"/>
    </w:rPr>
  </w:style>
  <w:style w:type="paragraph" w:styleId="a5">
    <w:name w:val="List Paragraph"/>
    <w:basedOn w:val="a"/>
    <w:uiPriority w:val="1"/>
    <w:qFormat/>
    <w:pPr>
      <w:ind w:left="1160" w:hanging="281"/>
    </w:pPr>
  </w:style>
  <w:style w:type="paragraph" w:customStyle="1" w:styleId="TableParagraph">
    <w:name w:val="Table Paragraph"/>
    <w:basedOn w:val="a"/>
    <w:uiPriority w:val="1"/>
    <w:qFormat/>
  </w:style>
  <w:style w:type="paragraph" w:styleId="a6">
    <w:name w:val="header"/>
    <w:basedOn w:val="a"/>
    <w:link w:val="a7"/>
    <w:uiPriority w:val="99"/>
    <w:unhideWhenUsed/>
    <w:rsid w:val="00200AC9"/>
    <w:pPr>
      <w:tabs>
        <w:tab w:val="center" w:pos="4703"/>
        <w:tab w:val="right" w:pos="9406"/>
      </w:tabs>
    </w:pPr>
  </w:style>
  <w:style w:type="character" w:customStyle="1" w:styleId="a7">
    <w:name w:val="Верхний колонтитул Знак"/>
    <w:basedOn w:val="a0"/>
    <w:link w:val="a6"/>
    <w:uiPriority w:val="99"/>
    <w:rsid w:val="00200AC9"/>
    <w:rPr>
      <w:rFonts w:ascii="Arial" w:eastAsia="Arial" w:hAnsi="Arial" w:cs="Arial"/>
    </w:rPr>
  </w:style>
  <w:style w:type="paragraph" w:styleId="a8">
    <w:name w:val="footer"/>
    <w:basedOn w:val="a"/>
    <w:link w:val="a9"/>
    <w:uiPriority w:val="99"/>
    <w:unhideWhenUsed/>
    <w:rsid w:val="00200AC9"/>
    <w:pPr>
      <w:tabs>
        <w:tab w:val="center" w:pos="4703"/>
        <w:tab w:val="right" w:pos="9406"/>
      </w:tabs>
    </w:pPr>
  </w:style>
  <w:style w:type="character" w:customStyle="1" w:styleId="a9">
    <w:name w:val="Нижний колонтитул Знак"/>
    <w:basedOn w:val="a0"/>
    <w:link w:val="a8"/>
    <w:uiPriority w:val="99"/>
    <w:rsid w:val="00200AC9"/>
    <w:rPr>
      <w:rFonts w:ascii="Arial" w:eastAsia="Arial" w:hAnsi="Arial" w:cs="Arial"/>
    </w:rPr>
  </w:style>
  <w:style w:type="paragraph" w:styleId="aa">
    <w:name w:val="footnote text"/>
    <w:basedOn w:val="a"/>
    <w:link w:val="ab"/>
    <w:uiPriority w:val="99"/>
    <w:semiHidden/>
    <w:unhideWhenUsed/>
    <w:rsid w:val="00200AC9"/>
    <w:rPr>
      <w:sz w:val="20"/>
      <w:szCs w:val="20"/>
    </w:rPr>
  </w:style>
  <w:style w:type="character" w:customStyle="1" w:styleId="ab">
    <w:name w:val="Текст сноски Знак"/>
    <w:basedOn w:val="a0"/>
    <w:link w:val="aa"/>
    <w:uiPriority w:val="99"/>
    <w:semiHidden/>
    <w:rsid w:val="00200AC9"/>
    <w:rPr>
      <w:rFonts w:ascii="Arial" w:eastAsia="Arial" w:hAnsi="Arial" w:cs="Arial"/>
      <w:sz w:val="20"/>
      <w:szCs w:val="20"/>
    </w:rPr>
  </w:style>
  <w:style w:type="character" w:styleId="ac">
    <w:name w:val="footnote reference"/>
    <w:basedOn w:val="a0"/>
    <w:uiPriority w:val="99"/>
    <w:semiHidden/>
    <w:unhideWhenUsed/>
    <w:rsid w:val="00200AC9"/>
    <w:rPr>
      <w:vertAlign w:val="superscript"/>
    </w:rPr>
  </w:style>
  <w:style w:type="character" w:styleId="ad">
    <w:name w:val="annotation reference"/>
    <w:basedOn w:val="a0"/>
    <w:uiPriority w:val="99"/>
    <w:semiHidden/>
    <w:unhideWhenUsed/>
    <w:rsid w:val="00B8445B"/>
    <w:rPr>
      <w:sz w:val="16"/>
      <w:szCs w:val="16"/>
    </w:rPr>
  </w:style>
  <w:style w:type="paragraph" w:styleId="ae">
    <w:name w:val="annotation text"/>
    <w:basedOn w:val="a"/>
    <w:link w:val="af"/>
    <w:uiPriority w:val="99"/>
    <w:semiHidden/>
    <w:unhideWhenUsed/>
    <w:rsid w:val="00B8445B"/>
    <w:rPr>
      <w:sz w:val="20"/>
      <w:szCs w:val="20"/>
    </w:rPr>
  </w:style>
  <w:style w:type="character" w:customStyle="1" w:styleId="af">
    <w:name w:val="Текст примечания Знак"/>
    <w:basedOn w:val="a0"/>
    <w:link w:val="ae"/>
    <w:uiPriority w:val="99"/>
    <w:semiHidden/>
    <w:rsid w:val="00B8445B"/>
    <w:rPr>
      <w:rFonts w:ascii="Arial" w:eastAsia="Arial" w:hAnsi="Arial" w:cs="Arial"/>
      <w:sz w:val="20"/>
      <w:szCs w:val="20"/>
    </w:rPr>
  </w:style>
  <w:style w:type="paragraph" w:styleId="af0">
    <w:name w:val="annotation subject"/>
    <w:basedOn w:val="ae"/>
    <w:next w:val="ae"/>
    <w:link w:val="af1"/>
    <w:uiPriority w:val="99"/>
    <w:semiHidden/>
    <w:unhideWhenUsed/>
    <w:rsid w:val="00B8445B"/>
    <w:rPr>
      <w:b/>
      <w:bCs/>
    </w:rPr>
  </w:style>
  <w:style w:type="character" w:customStyle="1" w:styleId="af1">
    <w:name w:val="Тема примечания Знак"/>
    <w:basedOn w:val="af"/>
    <w:link w:val="af0"/>
    <w:uiPriority w:val="99"/>
    <w:semiHidden/>
    <w:rsid w:val="00B8445B"/>
    <w:rPr>
      <w:rFonts w:ascii="Arial" w:eastAsia="Arial" w:hAnsi="Arial" w:cs="Arial"/>
      <w:b/>
      <w:bCs/>
      <w:sz w:val="20"/>
      <w:szCs w:val="20"/>
    </w:rPr>
  </w:style>
  <w:style w:type="paragraph" w:styleId="af2">
    <w:name w:val="Balloon Text"/>
    <w:basedOn w:val="a"/>
    <w:link w:val="af3"/>
    <w:uiPriority w:val="99"/>
    <w:semiHidden/>
    <w:unhideWhenUsed/>
    <w:rsid w:val="00B8445B"/>
    <w:rPr>
      <w:rFonts w:ascii="Segoe UI" w:hAnsi="Segoe UI" w:cs="Segoe UI"/>
      <w:sz w:val="18"/>
      <w:szCs w:val="18"/>
    </w:rPr>
  </w:style>
  <w:style w:type="character" w:customStyle="1" w:styleId="af3">
    <w:name w:val="Текст выноски Знак"/>
    <w:basedOn w:val="a0"/>
    <w:link w:val="af2"/>
    <w:uiPriority w:val="99"/>
    <w:semiHidden/>
    <w:rsid w:val="00B8445B"/>
    <w:rPr>
      <w:rFonts w:ascii="Segoe UI" w:eastAsia="Arial" w:hAnsi="Segoe UI" w:cs="Segoe UI"/>
      <w:sz w:val="18"/>
      <w:szCs w:val="18"/>
    </w:rPr>
  </w:style>
  <w:style w:type="paragraph" w:styleId="af4">
    <w:name w:val="Revision"/>
    <w:hidden/>
    <w:uiPriority w:val="99"/>
    <w:semiHidden/>
    <w:rsid w:val="00B8445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2.ohchr.org/english/law/" TargetMode="External"/><Relationship Id="rId1" Type="http://schemas.openxmlformats.org/officeDocument/2006/relationships/hyperlink" Target="http://www2.ohchr.org/english/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22</Pages>
  <Words>6877</Words>
  <Characters>39202</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Microsoft Word - LPPM Responsible Sourcing Guidance revision180521.docx</vt:lpstr>
    </vt:vector>
  </TitlesOfParts>
  <Company/>
  <LinksUpToDate>false</LinksUpToDate>
  <CharactersWithSpaces>45988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LPPM Responsible Sourcing Guidance revision180521.docx</dc:title>
  <dc:creator>John</dc:creator>
  <cp:lastModifiedBy>Петрович Марианна Сергеевна</cp:lastModifiedBy>
  <cp:revision>18</cp:revision>
  <dcterms:created xsi:type="dcterms:W3CDTF">2021-08-11T20:35:00Z</dcterms:created>
  <dcterms:modified xsi:type="dcterms:W3CDTF">2021-09-17T06:40:00Z</dcterms:modified>
</cp:coreProperties>
</file>