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7D1BB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0C85A31E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7DCF6181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14:paraId="5563450E" w14:textId="77777777" w:rsidTr="005E2126">
        <w:tc>
          <w:tcPr>
            <w:tcW w:w="5057" w:type="dxa"/>
          </w:tcPr>
          <w:p w14:paraId="17DC872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14:paraId="0238BACF" w14:textId="77777777"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4822D211" w14:textId="77777777" w:rsidTr="005E2126">
        <w:tc>
          <w:tcPr>
            <w:tcW w:w="5057" w:type="dxa"/>
          </w:tcPr>
          <w:p w14:paraId="5C5D0A38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14:paraId="785DF8E8" w14:textId="77777777"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3AE0DDFD" w14:textId="77777777" w:rsidTr="005E2126">
        <w:tc>
          <w:tcPr>
            <w:tcW w:w="5057" w:type="dxa"/>
          </w:tcPr>
          <w:p w14:paraId="7AE1C4B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14:paraId="4243B76E" w14:textId="5FA016C2" w:rsidR="00452548" w:rsidRPr="009342F2" w:rsidRDefault="00452548" w:rsidP="002E3A6D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2E3A6D">
              <w:rPr>
                <w:sz w:val="22"/>
                <w:szCs w:val="22"/>
                <w:u w:val="single"/>
              </w:rPr>
              <w:t>27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087310">
              <w:rPr>
                <w:sz w:val="22"/>
                <w:szCs w:val="22"/>
              </w:rPr>
              <w:t xml:space="preserve">марта </w:t>
            </w:r>
            <w:r w:rsidRPr="009342F2">
              <w:rPr>
                <w:sz w:val="22"/>
                <w:szCs w:val="22"/>
              </w:rPr>
              <w:t>20</w:t>
            </w:r>
            <w:r w:rsidR="006F66D0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191F9B4B" w14:textId="77777777" w:rsidTr="005E2126">
        <w:tc>
          <w:tcPr>
            <w:tcW w:w="5057" w:type="dxa"/>
          </w:tcPr>
          <w:p w14:paraId="5FB10362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14:paraId="24DBA397" w14:textId="582335F7" w:rsidR="00452548" w:rsidRPr="009342F2" w:rsidRDefault="00452548" w:rsidP="002E3A6D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2E3A6D">
              <w:rPr>
                <w:sz w:val="22"/>
                <w:szCs w:val="22"/>
                <w:u w:val="single"/>
              </w:rPr>
              <w:t>21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2E3A6D">
              <w:rPr>
                <w:sz w:val="22"/>
                <w:szCs w:val="22"/>
              </w:rPr>
              <w:t>марта</w:t>
            </w:r>
            <w:r w:rsidR="00087310">
              <w:rPr>
                <w:sz w:val="22"/>
                <w:szCs w:val="22"/>
              </w:rPr>
              <w:t xml:space="preserve"> </w:t>
            </w:r>
            <w:r w:rsidRPr="009342F2">
              <w:rPr>
                <w:sz w:val="22"/>
                <w:szCs w:val="22"/>
              </w:rPr>
              <w:t xml:space="preserve"> 20</w:t>
            </w:r>
            <w:r w:rsidR="00A37F1D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0A33179A" w14:textId="77777777" w:rsidTr="005E2126">
        <w:tc>
          <w:tcPr>
            <w:tcW w:w="5057" w:type="dxa"/>
          </w:tcPr>
          <w:p w14:paraId="6C955200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14:paraId="3777CE53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14:paraId="651D336E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</w:p>
    <w:p w14:paraId="2C4ADD8D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4F2234DA" w14:textId="0FB52D6E"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5E2126" w:rsidRPr="005E2126">
        <w:rPr>
          <w:b/>
          <w:i/>
          <w:sz w:val="22"/>
          <w:szCs w:val="22"/>
        </w:rPr>
        <w:t>На п</w:t>
      </w:r>
      <w:r w:rsidR="00BD6BB7">
        <w:rPr>
          <w:b/>
          <w:i/>
          <w:sz w:val="22"/>
          <w:szCs w:val="22"/>
        </w:rPr>
        <w:t xml:space="preserve">оставку </w:t>
      </w:r>
      <w:r w:rsidR="00355799" w:rsidRPr="00355799">
        <w:rPr>
          <w:b/>
          <w:i/>
          <w:sz w:val="22"/>
          <w:szCs w:val="22"/>
        </w:rPr>
        <w:t xml:space="preserve">разрывной электромеханической испытательной установки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14:paraId="6E5265BC" w14:textId="77777777"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6A15D5A1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14:paraId="62B176E6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14:paraId="4D2B47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10667D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46ECEEDC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0A944212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74B75F56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39D16C4A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32342B13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166549BA" w14:textId="77777777"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46CA2588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540EBEC0" w14:textId="349C9985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 xml:space="preserve"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</w:t>
      </w:r>
      <w:bookmarkStart w:id="0" w:name="_GoBack"/>
      <w:bookmarkEnd w:id="0"/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54B8BE9D" w14:textId="77777777"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4E757855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14:paraId="0B9632EB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14:paraId="1C2C1347" w14:textId="2DCF100B" w:rsidR="00452548" w:rsidRPr="009342F2" w:rsidRDefault="00452548" w:rsidP="002E3A6D">
      <w:pPr>
        <w:ind w:left="3119" w:right="-42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2E3A6D">
        <w:rPr>
          <w:b/>
          <w:i/>
          <w:sz w:val="22"/>
          <w:szCs w:val="22"/>
          <w:u w:val="single"/>
        </w:rPr>
        <w:t>Первухин Александр Евгеньевич</w:t>
      </w:r>
      <w:proofErr w:type="gramStart"/>
      <w:r w:rsidR="00A37F1D" w:rsidRPr="00445B72">
        <w:rPr>
          <w:b/>
          <w:i/>
          <w:sz w:val="22"/>
          <w:szCs w:val="22"/>
          <w:u w:val="single"/>
        </w:rPr>
        <w:t>.</w:t>
      </w:r>
      <w:proofErr w:type="gramEnd"/>
      <w:r w:rsidR="00A37F1D" w:rsidRPr="00445B72">
        <w:rPr>
          <w:b/>
          <w:i/>
          <w:sz w:val="22"/>
          <w:szCs w:val="22"/>
          <w:u w:val="single"/>
        </w:rPr>
        <w:t xml:space="preserve"> </w:t>
      </w:r>
      <w:proofErr w:type="gramStart"/>
      <w:r w:rsidR="00A37F1D">
        <w:rPr>
          <w:b/>
          <w:i/>
          <w:sz w:val="22"/>
          <w:szCs w:val="22"/>
          <w:u w:val="single"/>
        </w:rPr>
        <w:t>т</w:t>
      </w:r>
      <w:proofErr w:type="gramEnd"/>
      <w:r w:rsidR="00A37F1D">
        <w:rPr>
          <w:b/>
          <w:i/>
          <w:sz w:val="22"/>
          <w:szCs w:val="22"/>
          <w:u w:val="single"/>
        </w:rPr>
        <w:t>ел. 311-4</w:t>
      </w:r>
      <w:r w:rsidR="002E3A6D">
        <w:rPr>
          <w:b/>
          <w:i/>
          <w:sz w:val="22"/>
          <w:szCs w:val="22"/>
          <w:u w:val="single"/>
        </w:rPr>
        <w:t>8</w:t>
      </w:r>
      <w:r w:rsidR="00A37F1D">
        <w:rPr>
          <w:b/>
          <w:i/>
          <w:sz w:val="22"/>
          <w:szCs w:val="22"/>
          <w:u w:val="single"/>
        </w:rPr>
        <w:t>-</w:t>
      </w:r>
      <w:r w:rsidR="002E3A6D">
        <w:rPr>
          <w:b/>
          <w:i/>
          <w:sz w:val="22"/>
          <w:szCs w:val="22"/>
          <w:u w:val="single"/>
        </w:rPr>
        <w:t>1</w:t>
      </w:r>
      <w:r w:rsidR="00A37F1D">
        <w:rPr>
          <w:b/>
          <w:i/>
          <w:sz w:val="22"/>
          <w:szCs w:val="22"/>
          <w:u w:val="single"/>
        </w:rPr>
        <w:t>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</w:t>
      </w:r>
      <w:r w:rsidR="002E3A6D">
        <w:rPr>
          <w:b/>
          <w:i/>
          <w:sz w:val="22"/>
          <w:szCs w:val="22"/>
          <w:u w:val="single"/>
        </w:rPr>
        <w:t> 967 856 9747</w:t>
      </w:r>
    </w:p>
    <w:p w14:paraId="61EC3D38" w14:textId="77777777"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14:paraId="3EF5708D" w14:textId="30A46DFF"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</w:t>
      </w:r>
      <w:r w:rsidR="002E3A6D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</w:t>
      </w:r>
      <w:r w:rsidR="002E3A6D">
        <w:rPr>
          <w:b/>
          <w:i/>
          <w:sz w:val="22"/>
          <w:szCs w:val="22"/>
          <w:lang w:val="en-US"/>
        </w:rPr>
        <w:t>a</w:t>
      </w:r>
      <w:r w:rsidR="002E3A6D" w:rsidRPr="002E3A6D">
        <w:rPr>
          <w:b/>
          <w:i/>
          <w:sz w:val="22"/>
          <w:szCs w:val="22"/>
        </w:rPr>
        <w:t>.</w:t>
      </w:r>
      <w:proofErr w:type="spellStart"/>
      <w:r w:rsidR="002E3A6D">
        <w:rPr>
          <w:b/>
          <w:i/>
          <w:sz w:val="22"/>
          <w:szCs w:val="22"/>
          <w:lang w:val="en-US"/>
        </w:rPr>
        <w:t>pervuhin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F69C9" w14:textId="77777777" w:rsidR="00F241EE" w:rsidRDefault="00F241EE" w:rsidP="00452548">
      <w:r>
        <w:separator/>
      </w:r>
    </w:p>
  </w:endnote>
  <w:endnote w:type="continuationSeparator" w:id="0">
    <w:p w14:paraId="2543E2A2" w14:textId="77777777" w:rsidR="00F241EE" w:rsidRDefault="00F241EE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C86F" w14:textId="77777777" w:rsidR="00F241EE" w:rsidRDefault="00F241EE" w:rsidP="00452548">
      <w:r>
        <w:separator/>
      </w:r>
    </w:p>
  </w:footnote>
  <w:footnote w:type="continuationSeparator" w:id="0">
    <w:p w14:paraId="5B364FE9" w14:textId="77777777" w:rsidR="00F241EE" w:rsidRDefault="00F241EE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760D" w14:textId="77777777"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10519"/>
    <w:rsid w:val="00064D20"/>
    <w:rsid w:val="00087310"/>
    <w:rsid w:val="002155C1"/>
    <w:rsid w:val="002E3A6D"/>
    <w:rsid w:val="00355799"/>
    <w:rsid w:val="00405F57"/>
    <w:rsid w:val="00443D1C"/>
    <w:rsid w:val="00452548"/>
    <w:rsid w:val="004804F3"/>
    <w:rsid w:val="004B76DB"/>
    <w:rsid w:val="004F4061"/>
    <w:rsid w:val="004F6383"/>
    <w:rsid w:val="005E2126"/>
    <w:rsid w:val="006F3FFC"/>
    <w:rsid w:val="006F66D0"/>
    <w:rsid w:val="0091020C"/>
    <w:rsid w:val="00962A02"/>
    <w:rsid w:val="009C019C"/>
    <w:rsid w:val="009E639C"/>
    <w:rsid w:val="00A37F1D"/>
    <w:rsid w:val="00AB4006"/>
    <w:rsid w:val="00B25DD7"/>
    <w:rsid w:val="00B45BF7"/>
    <w:rsid w:val="00BD6BB7"/>
    <w:rsid w:val="00C230F9"/>
    <w:rsid w:val="00DD3D59"/>
    <w:rsid w:val="00F241EE"/>
    <w:rsid w:val="00FA608C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2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Первухин Александр Евгеньевич</cp:lastModifiedBy>
  <cp:revision>3</cp:revision>
  <dcterms:created xsi:type="dcterms:W3CDTF">2025-02-24T04:08:00Z</dcterms:created>
  <dcterms:modified xsi:type="dcterms:W3CDTF">2025-02-24T04:13:00Z</dcterms:modified>
</cp:coreProperties>
</file>