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:rsidR="00452548" w:rsidRPr="009342F2" w:rsidRDefault="00452548" w:rsidP="00BB3528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BB3528">
              <w:rPr>
                <w:sz w:val="22"/>
                <w:szCs w:val="22"/>
                <w:u w:val="single"/>
              </w:rPr>
              <w:t>28</w:t>
            </w:r>
            <w:r w:rsidRPr="009342F2">
              <w:rPr>
                <w:sz w:val="22"/>
                <w:szCs w:val="22"/>
              </w:rPr>
              <w:t>_» _</w:t>
            </w:r>
            <w:r w:rsidR="008F25FE">
              <w:rPr>
                <w:sz w:val="22"/>
                <w:szCs w:val="22"/>
                <w:u w:val="single"/>
              </w:rPr>
              <w:t xml:space="preserve"> н</w:t>
            </w:r>
            <w:r w:rsidR="00BB3528">
              <w:rPr>
                <w:sz w:val="22"/>
                <w:szCs w:val="22"/>
                <w:u w:val="single"/>
              </w:rPr>
              <w:t>о</w:t>
            </w:r>
            <w:r w:rsidR="008F25FE">
              <w:rPr>
                <w:sz w:val="22"/>
                <w:szCs w:val="22"/>
                <w:u w:val="single"/>
              </w:rPr>
              <w:t>ября</w:t>
            </w:r>
            <w:r w:rsidRPr="009342F2">
              <w:rPr>
                <w:sz w:val="22"/>
                <w:szCs w:val="22"/>
              </w:rPr>
              <w:t>_ 20</w:t>
            </w:r>
            <w:r w:rsidR="006F66D0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:rsidR="00452548" w:rsidRPr="009342F2" w:rsidRDefault="00452548" w:rsidP="00BB3528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BB3528">
              <w:rPr>
                <w:sz w:val="22"/>
                <w:szCs w:val="22"/>
                <w:u w:val="single"/>
              </w:rPr>
              <w:t>25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8F25FE">
              <w:rPr>
                <w:sz w:val="22"/>
                <w:szCs w:val="22"/>
              </w:rPr>
              <w:t>_</w:t>
            </w:r>
            <w:r w:rsidR="008F25FE" w:rsidRPr="008F25FE">
              <w:rPr>
                <w:sz w:val="22"/>
                <w:szCs w:val="22"/>
                <w:u w:val="single"/>
              </w:rPr>
              <w:t xml:space="preserve"> </w:t>
            </w:r>
            <w:r w:rsidR="00BB3528">
              <w:rPr>
                <w:sz w:val="22"/>
                <w:szCs w:val="22"/>
                <w:u w:val="single"/>
              </w:rPr>
              <w:t>ноября</w:t>
            </w:r>
            <w:r w:rsidRPr="009342F2">
              <w:rPr>
                <w:sz w:val="22"/>
                <w:szCs w:val="22"/>
              </w:rPr>
              <w:t>_</w:t>
            </w:r>
            <w:r w:rsidR="008F25FE">
              <w:rPr>
                <w:sz w:val="22"/>
                <w:szCs w:val="22"/>
              </w:rPr>
              <w:t>_</w:t>
            </w:r>
            <w:r w:rsidRPr="009342F2">
              <w:rPr>
                <w:sz w:val="22"/>
                <w:szCs w:val="22"/>
              </w:rPr>
              <w:t xml:space="preserve"> 20</w:t>
            </w:r>
            <w:r w:rsidR="00A37F1D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2F5F71">
        <w:rPr>
          <w:b/>
          <w:i/>
          <w:sz w:val="22"/>
          <w:szCs w:val="22"/>
        </w:rPr>
        <w:t xml:space="preserve">на </w:t>
      </w:r>
      <w:r w:rsidR="00BB3528">
        <w:rPr>
          <w:b/>
          <w:i/>
          <w:sz w:val="22"/>
          <w:szCs w:val="22"/>
        </w:rPr>
        <w:t>реконструкцию части эстакады установки инв. № 11274 для производства солей платиновых металлов расположенной в комнате № 236 аффинажного цеха</w:t>
      </w:r>
      <w:r w:rsidR="00C57A75">
        <w:rPr>
          <w:b/>
          <w:i/>
          <w:sz w:val="22"/>
          <w:szCs w:val="22"/>
        </w:rPr>
        <w:t xml:space="preserve">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</w:t>
      </w:r>
      <w:r w:rsidR="00BB3528">
        <w:rPr>
          <w:sz w:val="22"/>
          <w:szCs w:val="22"/>
        </w:rPr>
        <w:t xml:space="preserve"> от 29.10.2024 г</w:t>
      </w:r>
      <w:r w:rsidR="00BD6BB7">
        <w:rPr>
          <w:sz w:val="22"/>
          <w:szCs w:val="22"/>
        </w:rPr>
        <w:t>.</w:t>
      </w:r>
      <w:r w:rsidR="004C4286">
        <w:rPr>
          <w:sz w:val="22"/>
          <w:szCs w:val="22"/>
        </w:rPr>
        <w:t xml:space="preserve"> и сборочному чертежу № К – 16593 СБ.</w:t>
      </w:r>
      <w:bookmarkStart w:id="0" w:name="_GoBack"/>
      <w:bookmarkEnd w:id="0"/>
    </w:p>
    <w:p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proofErr w:type="gramEnd"/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452548" w:rsidRPr="009342F2" w:rsidRDefault="00452548" w:rsidP="00A37F1D">
      <w:pPr>
        <w:ind w:left="4248" w:right="-428" w:firstLine="70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Попчихин И</w:t>
      </w:r>
      <w:r w:rsidR="00A37F1D" w:rsidRPr="00445B72">
        <w:rPr>
          <w:b/>
          <w:i/>
          <w:sz w:val="22"/>
          <w:szCs w:val="22"/>
          <w:u w:val="single"/>
        </w:rPr>
        <w:t xml:space="preserve">.В. </w:t>
      </w:r>
      <w:r w:rsidR="00A37F1D">
        <w:rPr>
          <w:b/>
          <w:i/>
          <w:sz w:val="22"/>
          <w:szCs w:val="22"/>
          <w:u w:val="single"/>
        </w:rPr>
        <w:t>тел. 311-47-37,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8 9</w:t>
      </w:r>
      <w:r w:rsidR="00A37F1D">
        <w:rPr>
          <w:b/>
          <w:i/>
          <w:sz w:val="22"/>
          <w:szCs w:val="22"/>
          <w:u w:val="single"/>
        </w:rPr>
        <w:t>122</w:t>
      </w:r>
      <w:r w:rsidR="00A37F1D" w:rsidRPr="00445B72">
        <w:rPr>
          <w:b/>
          <w:i/>
          <w:sz w:val="22"/>
          <w:szCs w:val="22"/>
          <w:u w:val="single"/>
        </w:rPr>
        <w:t> 8</w:t>
      </w:r>
      <w:r w:rsidR="00A37F1D">
        <w:rPr>
          <w:b/>
          <w:i/>
          <w:sz w:val="22"/>
          <w:szCs w:val="22"/>
          <w:u w:val="single"/>
        </w:rPr>
        <w:t>32900</w:t>
      </w:r>
    </w:p>
    <w:p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- </w:t>
      </w:r>
      <w:r>
        <w:rPr>
          <w:b/>
          <w:i/>
          <w:sz w:val="22"/>
          <w:szCs w:val="22"/>
          <w:lang w:val="en-US"/>
        </w:rPr>
        <w:t>i</w:t>
      </w:r>
      <w:r w:rsidRPr="0057475A">
        <w:rPr>
          <w:b/>
          <w:i/>
          <w:sz w:val="22"/>
          <w:szCs w:val="22"/>
        </w:rPr>
        <w:t>.</w:t>
      </w:r>
      <w:proofErr w:type="spellStart"/>
      <w:r>
        <w:rPr>
          <w:b/>
          <w:i/>
          <w:sz w:val="22"/>
          <w:szCs w:val="22"/>
          <w:lang w:val="en-US"/>
        </w:rPr>
        <w:t>popchikhin</w:t>
      </w:r>
      <w:proofErr w:type="spellEnd"/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0E" w:rsidRDefault="000F130E" w:rsidP="00452548">
      <w:r>
        <w:separator/>
      </w:r>
    </w:p>
  </w:endnote>
  <w:endnote w:type="continuationSeparator" w:id="0">
    <w:p w:rsidR="000F130E" w:rsidRDefault="000F130E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0E" w:rsidRDefault="000F130E" w:rsidP="00452548">
      <w:r>
        <w:separator/>
      </w:r>
    </w:p>
  </w:footnote>
  <w:footnote w:type="continuationSeparator" w:id="0">
    <w:p w:rsidR="000F130E" w:rsidRDefault="000F130E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64D20"/>
    <w:rsid w:val="000F130E"/>
    <w:rsid w:val="00151CA5"/>
    <w:rsid w:val="001D6C24"/>
    <w:rsid w:val="002F4E77"/>
    <w:rsid w:val="002F5F71"/>
    <w:rsid w:val="00405F57"/>
    <w:rsid w:val="00452548"/>
    <w:rsid w:val="004804F3"/>
    <w:rsid w:val="004B76DB"/>
    <w:rsid w:val="004C4286"/>
    <w:rsid w:val="005E2126"/>
    <w:rsid w:val="006F66D0"/>
    <w:rsid w:val="0075631F"/>
    <w:rsid w:val="007A5143"/>
    <w:rsid w:val="008F25FE"/>
    <w:rsid w:val="0091020C"/>
    <w:rsid w:val="00962A02"/>
    <w:rsid w:val="00A37F1D"/>
    <w:rsid w:val="00BB3528"/>
    <w:rsid w:val="00BD6BB7"/>
    <w:rsid w:val="00C02CC7"/>
    <w:rsid w:val="00C230F9"/>
    <w:rsid w:val="00C57A75"/>
    <w:rsid w:val="00DD3D59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Попчихин Игорь Владимирович</cp:lastModifiedBy>
  <cp:revision>15</cp:revision>
  <dcterms:created xsi:type="dcterms:W3CDTF">2020-05-18T05:07:00Z</dcterms:created>
  <dcterms:modified xsi:type="dcterms:W3CDTF">2024-10-29T11:32:00Z</dcterms:modified>
</cp:coreProperties>
</file>