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452548" w:rsidP="002F6F7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 </w:t>
            </w:r>
            <w:r w:rsidR="002F6F72">
              <w:rPr>
                <w:sz w:val="22"/>
                <w:szCs w:val="22"/>
              </w:rPr>
              <w:t>А</w:t>
            </w:r>
            <w:r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</w:t>
            </w:r>
            <w:r w:rsidR="002F6F72">
              <w:rPr>
                <w:sz w:val="22"/>
                <w:szCs w:val="22"/>
              </w:rPr>
              <w:t>г. Верхняя Пышма, 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F6F7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2548" w:rsidRPr="009342F2">
              <w:rPr>
                <w:sz w:val="22"/>
                <w:szCs w:val="22"/>
              </w:rPr>
              <w:t>_</w:t>
            </w:r>
            <w:r w:rsidR="00307DAE">
              <w:rPr>
                <w:sz w:val="22"/>
                <w:szCs w:val="22"/>
                <w:u w:val="single"/>
              </w:rPr>
              <w:t>26</w:t>
            </w:r>
            <w:r w:rsidR="00452548" w:rsidRPr="009342F2">
              <w:rPr>
                <w:sz w:val="22"/>
                <w:szCs w:val="22"/>
              </w:rPr>
              <w:t>_» ___</w:t>
            </w:r>
            <w:r w:rsidR="00307DAE">
              <w:rPr>
                <w:sz w:val="22"/>
                <w:szCs w:val="22"/>
                <w:u w:val="single"/>
              </w:rPr>
              <w:t>ию</w:t>
            </w:r>
            <w:r w:rsidR="00EE6F8F">
              <w:rPr>
                <w:sz w:val="22"/>
                <w:szCs w:val="22"/>
                <w:u w:val="single"/>
              </w:rPr>
              <w:t>ля</w:t>
            </w:r>
            <w:r w:rsidR="00EE6F8F" w:rsidRPr="009342F2">
              <w:rPr>
                <w:sz w:val="22"/>
                <w:szCs w:val="22"/>
              </w:rPr>
              <w:t xml:space="preserve"> </w:t>
            </w:r>
            <w:r w:rsidR="00EE6F8F">
              <w:rPr>
                <w:sz w:val="22"/>
                <w:szCs w:val="22"/>
              </w:rPr>
              <w:t>__20 __</w:t>
            </w:r>
            <w:r w:rsidR="00EE6F8F">
              <w:rPr>
                <w:sz w:val="22"/>
                <w:szCs w:val="22"/>
                <w:u w:val="single"/>
              </w:rPr>
              <w:t>16</w:t>
            </w:r>
            <w:r w:rsidR="00452548" w:rsidRPr="009342F2">
              <w:rPr>
                <w:sz w:val="22"/>
                <w:szCs w:val="22"/>
              </w:rPr>
              <w:t>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2F6F72">
              <w:rPr>
                <w:sz w:val="22"/>
                <w:szCs w:val="22"/>
                <w:u w:val="single"/>
              </w:rPr>
              <w:t>20</w:t>
            </w:r>
            <w:r w:rsidR="00307DAE">
              <w:rPr>
                <w:sz w:val="22"/>
                <w:szCs w:val="22"/>
              </w:rPr>
              <w:t>__» _</w:t>
            </w:r>
            <w:r w:rsidR="00307DAE">
              <w:rPr>
                <w:sz w:val="22"/>
                <w:szCs w:val="22"/>
                <w:u w:val="single"/>
              </w:rPr>
              <w:t>ию</w:t>
            </w:r>
            <w:r w:rsidR="002F6F72">
              <w:rPr>
                <w:sz w:val="22"/>
                <w:szCs w:val="22"/>
                <w:u w:val="single"/>
              </w:rPr>
              <w:t>ля</w:t>
            </w:r>
            <w:r w:rsidR="002F6F72">
              <w:rPr>
                <w:sz w:val="22"/>
                <w:szCs w:val="22"/>
              </w:rPr>
              <w:t>__ 20 _</w:t>
            </w:r>
            <w:r w:rsidR="002F6F72">
              <w:rPr>
                <w:sz w:val="22"/>
                <w:szCs w:val="22"/>
                <w:u w:val="single"/>
              </w:rPr>
              <w:t>16</w:t>
            </w:r>
            <w:r w:rsidRPr="009342F2">
              <w:rPr>
                <w:sz w:val="22"/>
                <w:szCs w:val="22"/>
              </w:rPr>
              <w:t>__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ОАО «ЕЗ ОЦМ».</w:t>
      </w:r>
    </w:p>
    <w:p w:rsidR="002F6F72" w:rsidRDefault="00452548" w:rsidP="002F6F72">
      <w:pPr>
        <w:ind w:right="-176" w:firstLine="360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</w:t>
      </w:r>
      <w:r w:rsidR="002F6F72">
        <w:rPr>
          <w:sz w:val="22"/>
          <w:szCs w:val="22"/>
        </w:rPr>
        <w:t>фикаты и т.д.), необходимые для:</w:t>
      </w:r>
      <w:proofErr w:type="gramEnd"/>
    </w:p>
    <w:p w:rsidR="002F6F72" w:rsidRPr="002F6F72" w:rsidRDefault="002F6F72" w:rsidP="002F6F72">
      <w:pPr>
        <w:ind w:right="-176" w:firstLine="360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п</w:t>
      </w:r>
      <w:r w:rsidRPr="002F6F72">
        <w:rPr>
          <w:b/>
          <w:sz w:val="22"/>
          <w:szCs w:val="22"/>
        </w:rPr>
        <w:t>роизв</w:t>
      </w:r>
      <w:r>
        <w:rPr>
          <w:b/>
          <w:sz w:val="22"/>
          <w:szCs w:val="22"/>
        </w:rPr>
        <w:t xml:space="preserve">одства работ по </w:t>
      </w:r>
      <w:r w:rsidRPr="002F6F72">
        <w:rPr>
          <w:b/>
          <w:sz w:val="22"/>
          <w:szCs w:val="22"/>
        </w:rPr>
        <w:t xml:space="preserve"> </w:t>
      </w:r>
      <w:r w:rsidR="00307DAE">
        <w:rPr>
          <w:b/>
          <w:sz w:val="22"/>
          <w:szCs w:val="22"/>
        </w:rPr>
        <w:t xml:space="preserve">ремонту, </w:t>
      </w:r>
      <w:r w:rsidRPr="002F6F72">
        <w:rPr>
          <w:b/>
          <w:sz w:val="22"/>
          <w:szCs w:val="22"/>
        </w:rPr>
        <w:t xml:space="preserve">демонтажу старого молота, подготовке фундамента молота, монтажу </w:t>
      </w:r>
      <w:r>
        <w:rPr>
          <w:b/>
          <w:sz w:val="22"/>
          <w:szCs w:val="22"/>
        </w:rPr>
        <w:t xml:space="preserve"> </w:t>
      </w:r>
      <w:r w:rsidRPr="002F6F72">
        <w:rPr>
          <w:b/>
          <w:sz w:val="22"/>
          <w:szCs w:val="22"/>
        </w:rPr>
        <w:t>молота, пусконаладочным работам,  проведению пробной ковки.</w:t>
      </w:r>
    </w:p>
    <w:p w:rsidR="002F6F72" w:rsidRDefault="002F6F72" w:rsidP="00452548">
      <w:pPr>
        <w:ind w:right="-176" w:firstLine="360"/>
        <w:jc w:val="both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ОАО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ОАО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EE6F8F" w:rsidP="00EE6F8F">
      <w:pPr>
        <w:ind w:right="-17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</w:t>
      </w:r>
      <w:r>
        <w:rPr>
          <w:i/>
          <w:sz w:val="22"/>
          <w:szCs w:val="22"/>
          <w:u w:val="single"/>
        </w:rPr>
        <w:t xml:space="preserve">Гл. механик   Шавыкин </w:t>
      </w:r>
      <w:proofErr w:type="spellStart"/>
      <w:r>
        <w:rPr>
          <w:i/>
          <w:sz w:val="22"/>
          <w:szCs w:val="22"/>
          <w:u w:val="single"/>
        </w:rPr>
        <w:t>Конст</w:t>
      </w:r>
      <w:proofErr w:type="spellEnd"/>
      <w:proofErr w:type="gramStart"/>
      <w:r w:rsidR="00307DAE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 xml:space="preserve">. </w:t>
      </w:r>
      <w:proofErr w:type="gramEnd"/>
      <w:r>
        <w:rPr>
          <w:i/>
          <w:sz w:val="22"/>
          <w:szCs w:val="22"/>
          <w:u w:val="single"/>
        </w:rPr>
        <w:t>Вас</w:t>
      </w:r>
      <w:r w:rsidR="00307DAE">
        <w:rPr>
          <w:i/>
          <w:sz w:val="22"/>
          <w:szCs w:val="22"/>
          <w:u w:val="single"/>
        </w:rPr>
        <w:t>.</w:t>
      </w:r>
      <w:bookmarkStart w:id="0" w:name="_GoBack"/>
      <w:bookmarkEnd w:id="0"/>
      <w:r>
        <w:rPr>
          <w:i/>
          <w:sz w:val="22"/>
          <w:szCs w:val="22"/>
          <w:u w:val="single"/>
        </w:rPr>
        <w:t>.</w:t>
      </w:r>
    </w:p>
    <w:p w:rsidR="00405F57" w:rsidRDefault="00EE6F8F" w:rsidP="00C230F9">
      <w:pPr>
        <w:ind w:left="4956"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Т. 8 906 802 11 55</w:t>
      </w:r>
    </w:p>
    <w:p w:rsidR="00307DAE" w:rsidRDefault="00307DAE" w:rsidP="00C230F9">
      <w:pPr>
        <w:ind w:left="4956" w:right="-176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     </w:t>
      </w:r>
    </w:p>
    <w:p w:rsidR="00307DAE" w:rsidRPr="00307DAE" w:rsidRDefault="00307DAE" w:rsidP="00C230F9">
      <w:pPr>
        <w:ind w:left="4956" w:right="-176"/>
      </w:pPr>
      <w:r>
        <w:rPr>
          <w:rFonts w:ascii="Helvetica" w:hAnsi="Helvetica" w:cs="Helvetica"/>
          <w:color w:val="333333"/>
          <w:sz w:val="18"/>
          <w:szCs w:val="18"/>
        </w:rPr>
        <w:t xml:space="preserve">      </w:t>
      </w:r>
      <w:hyperlink r:id="rId8" w:history="1">
        <w:r>
          <w:rPr>
            <w:rStyle w:val="ad"/>
            <w:rFonts w:ascii="Helvetica" w:hAnsi="Helvetica" w:cs="Helvetica"/>
            <w:sz w:val="18"/>
            <w:szCs w:val="18"/>
          </w:rPr>
          <w:t>k.shavykin@ezocm.ru</w:t>
        </w:r>
      </w:hyperlink>
    </w:p>
    <w:sectPr w:rsidR="00307DAE" w:rsidRPr="00307DAE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92" w:rsidRDefault="00D07592" w:rsidP="00452548">
      <w:r>
        <w:separator/>
      </w:r>
    </w:p>
  </w:endnote>
  <w:endnote w:type="continuationSeparator" w:id="0">
    <w:p w:rsidR="00D07592" w:rsidRDefault="00D07592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92" w:rsidRDefault="00D07592" w:rsidP="00452548">
      <w:r>
        <w:separator/>
      </w:r>
    </w:p>
  </w:footnote>
  <w:footnote w:type="continuationSeparator" w:id="0">
    <w:p w:rsidR="00D07592" w:rsidRDefault="00D07592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2"/>
    <w:rsid w:val="002F6F72"/>
    <w:rsid w:val="00307DAE"/>
    <w:rsid w:val="00405F57"/>
    <w:rsid w:val="00452548"/>
    <w:rsid w:val="004804F3"/>
    <w:rsid w:val="004B281B"/>
    <w:rsid w:val="00962A02"/>
    <w:rsid w:val="00C230F9"/>
    <w:rsid w:val="00D07592"/>
    <w:rsid w:val="00E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307DAE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307DAE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havyk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elix55</dc:creator>
  <cp:keywords/>
  <dc:description/>
  <cp:lastModifiedBy>elix55</cp:lastModifiedBy>
  <cp:revision>2</cp:revision>
  <dcterms:created xsi:type="dcterms:W3CDTF">2016-07-06T03:43:00Z</dcterms:created>
  <dcterms:modified xsi:type="dcterms:W3CDTF">2016-07-06T03:43:00Z</dcterms:modified>
</cp:coreProperties>
</file>