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49DB2" w14:textId="77777777" w:rsidR="004874BD" w:rsidRPr="00A02988" w:rsidRDefault="00777031" w:rsidP="002B1E28">
      <w:pPr>
        <w:pStyle w:val="a4"/>
        <w:widowControl/>
        <w:tabs>
          <w:tab w:val="left" w:pos="426"/>
        </w:tabs>
        <w:spacing w:before="100" w:beforeAutospacing="1" w:after="100" w:afterAutospacing="1" w:line="384" w:lineRule="exact"/>
        <w:ind w:left="0"/>
        <w:rPr>
          <w:sz w:val="32"/>
        </w:rPr>
      </w:pPr>
      <w:bookmarkStart w:id="0" w:name="_GoBack"/>
      <w:r w:rsidRPr="00A02988">
        <w:rPr>
          <w:sz w:val="32"/>
          <w:lang w:bidi="ru-RU"/>
        </w:rPr>
        <w:t>Руководство по ответственной работе с серебром Лондонской ассоциации участников рынка драгоценных металлов</w:t>
      </w:r>
    </w:p>
    <w:bookmarkEnd w:id="0"/>
    <w:p w14:paraId="351271D5" w14:textId="77777777" w:rsidR="004874BD" w:rsidRPr="00A02988" w:rsidRDefault="00777031" w:rsidP="00A02988">
      <w:pPr>
        <w:widowControl/>
        <w:tabs>
          <w:tab w:val="left" w:pos="426"/>
        </w:tabs>
        <w:spacing w:before="100" w:beforeAutospacing="1" w:after="100" w:afterAutospacing="1" w:line="320" w:lineRule="exact"/>
        <w:rPr>
          <w:sz w:val="24"/>
          <w:szCs w:val="24"/>
        </w:rPr>
      </w:pPr>
      <w:r w:rsidRPr="00A02988">
        <w:rPr>
          <w:sz w:val="24"/>
          <w:szCs w:val="24"/>
          <w:lang w:bidi="ru-RU"/>
        </w:rPr>
        <w:t>Версия 1. Сентябрь 2017 г.</w:t>
      </w:r>
    </w:p>
    <w:p w14:paraId="18EDC0D4" w14:textId="7196B034" w:rsidR="004874BD" w:rsidRPr="00A02988" w:rsidRDefault="00777031" w:rsidP="00173500">
      <w:pPr>
        <w:pStyle w:val="2"/>
        <w:spacing w:before="100" w:beforeAutospacing="1" w:after="100" w:afterAutospacing="1" w:line="320" w:lineRule="exact"/>
        <w:ind w:left="0" w:firstLine="0"/>
        <w:rPr>
          <w:sz w:val="32"/>
        </w:rPr>
      </w:pPr>
      <w:bookmarkStart w:id="1" w:name="Introduction"/>
      <w:bookmarkEnd w:id="1"/>
      <w:r w:rsidRPr="00A02988">
        <w:rPr>
          <w:sz w:val="32"/>
        </w:rPr>
        <w:t>Введение</w:t>
      </w:r>
    </w:p>
    <w:p w14:paraId="6D6C0C7A" w14:textId="77777777" w:rsidR="004874BD" w:rsidRPr="00A02988" w:rsidRDefault="00777031" w:rsidP="00A02988">
      <w:pPr>
        <w:pStyle w:val="a3"/>
        <w:widowControl/>
        <w:tabs>
          <w:tab w:val="left" w:pos="426"/>
        </w:tabs>
        <w:spacing w:before="100" w:beforeAutospacing="1" w:after="100" w:afterAutospacing="1" w:line="320" w:lineRule="exact"/>
        <w:jc w:val="both"/>
        <w:rPr>
          <w:sz w:val="24"/>
        </w:rPr>
      </w:pPr>
      <w:r w:rsidRPr="00A02988">
        <w:rPr>
          <w:sz w:val="24"/>
          <w:lang w:bidi="ru-RU"/>
        </w:rPr>
        <w:t xml:space="preserve">Лондонская ассоциация участников рынка драгоценных металлов разработала </w:t>
      </w:r>
      <w:r w:rsidRPr="00A02988">
        <w:rPr>
          <w:i/>
          <w:sz w:val="24"/>
          <w:lang w:bidi="ru-RU"/>
        </w:rPr>
        <w:t xml:space="preserve">Руководство по ответственной работе с серебром </w:t>
      </w:r>
      <w:r w:rsidRPr="00A02988">
        <w:rPr>
          <w:sz w:val="24"/>
          <w:lang w:bidi="ru-RU"/>
        </w:rPr>
        <w:t>для аффинажных предприятий, продукция которых имеет статус «надежная поставка», с целью борьбы с систематическими или широко распространенными нарушениями прав человека, предотвращения разжигания конфликтов, а также соблюдения высоких стандартов противодействия отмыванию денег и финансированию терроризма. В данном Руководстве закреплены существующие высокие стандарты проведения комплексной экспертизы, которые соблюдаются всеми аффинажными предприятиями со статусом «надежная поставка», присвоенным Лондонской ассоциацией участников рынка драгоценных металлов.</w:t>
      </w:r>
    </w:p>
    <w:p w14:paraId="65279ED3" w14:textId="77777777" w:rsidR="004874BD" w:rsidRPr="00A02988" w:rsidRDefault="00777031" w:rsidP="00A02988">
      <w:pPr>
        <w:pStyle w:val="a3"/>
        <w:widowControl/>
        <w:tabs>
          <w:tab w:val="left" w:pos="426"/>
        </w:tabs>
        <w:spacing w:before="100" w:beforeAutospacing="1" w:after="100" w:afterAutospacing="1" w:line="320" w:lineRule="exact"/>
        <w:jc w:val="both"/>
        <w:rPr>
          <w:sz w:val="24"/>
        </w:rPr>
      </w:pPr>
      <w:proofErr w:type="gramStart"/>
      <w:r w:rsidRPr="00A02988">
        <w:rPr>
          <w:sz w:val="24"/>
          <w:lang w:bidi="ru-RU"/>
        </w:rPr>
        <w:t>В Руководстве используется пятиэтапная схема комплексной экспертизы с учетом рисков, приведенная в Руководящих принципах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принятой 15 декабря 2010 г.</w:t>
      </w:r>
      <w:proofErr w:type="gramEnd"/>
    </w:p>
    <w:p w14:paraId="27811844" w14:textId="0E8E28BD" w:rsidR="004874BD" w:rsidRPr="00A02988" w:rsidRDefault="00777031" w:rsidP="00A02988">
      <w:pPr>
        <w:pStyle w:val="a3"/>
        <w:widowControl/>
        <w:tabs>
          <w:tab w:val="left" w:pos="426"/>
        </w:tabs>
        <w:spacing w:before="100" w:beforeAutospacing="1" w:after="100" w:afterAutospacing="1" w:line="320" w:lineRule="exact"/>
        <w:jc w:val="both"/>
        <w:rPr>
          <w:sz w:val="24"/>
        </w:rPr>
      </w:pPr>
      <w:r w:rsidRPr="00A02988">
        <w:rPr>
          <w:sz w:val="24"/>
          <w:lang w:bidi="ru-RU"/>
        </w:rPr>
        <w:t xml:space="preserve">Для выполнения требований данного Руководства аффинажным предприятиям следует использовать Набор инструментов Лондонской ассоциации участников рынка драгоценных металлов (доступен на веб-сайте Лондонской ассоциации участников рынка драгоценных металлов) Все существенные отклонения от объема Набора инструментов должны быть обоснованы (Аффинажные предприятия должны либо соблюдать </w:t>
      </w:r>
      <w:r w:rsidR="00C249CA" w:rsidRPr="00A02988">
        <w:rPr>
          <w:sz w:val="24"/>
          <w:lang w:bidi="ru-RU"/>
        </w:rPr>
        <w:t>требования,</w:t>
      </w:r>
      <w:r w:rsidRPr="00A02988">
        <w:rPr>
          <w:sz w:val="24"/>
          <w:lang w:bidi="ru-RU"/>
        </w:rPr>
        <w:t xml:space="preserve"> либо объяснить их несоблюдение).</w:t>
      </w:r>
    </w:p>
    <w:p w14:paraId="182FEA42" w14:textId="77777777" w:rsidR="004874BD" w:rsidRPr="00A02988" w:rsidRDefault="00777031" w:rsidP="00A02988">
      <w:pPr>
        <w:pStyle w:val="a3"/>
        <w:widowControl/>
        <w:tabs>
          <w:tab w:val="left" w:pos="426"/>
        </w:tabs>
        <w:spacing w:before="100" w:beforeAutospacing="1" w:after="100" w:afterAutospacing="1" w:line="320" w:lineRule="exact"/>
        <w:jc w:val="both"/>
        <w:rPr>
          <w:sz w:val="24"/>
        </w:rPr>
      </w:pPr>
      <w:r w:rsidRPr="00A02988">
        <w:rPr>
          <w:sz w:val="24"/>
          <w:lang w:bidi="ru-RU"/>
        </w:rPr>
        <w:t xml:space="preserve">Данное Руководство следует рассматривать как минимально необходимые требования, на которых должна основываться и улучшаться практика проведения аффинажными предприятиями комплексной экспертизы в каждой из ключевых областей. Концепция непрерывного совершенствования является неотъемлемым компонентом </w:t>
      </w:r>
      <w:proofErr w:type="gramStart"/>
      <w:r w:rsidRPr="00A02988">
        <w:rPr>
          <w:sz w:val="24"/>
          <w:lang w:bidi="ru-RU"/>
        </w:rPr>
        <w:t>программ ответственного выбора поставщиков Лондонской ассоциации участников рынка драгоценных металлов</w:t>
      </w:r>
      <w:proofErr w:type="gramEnd"/>
      <w:r w:rsidRPr="00A02988">
        <w:rPr>
          <w:sz w:val="24"/>
          <w:lang w:bidi="ru-RU"/>
        </w:rPr>
        <w:t xml:space="preserve"> и лежит в основе пятиэтапной схемы Лондонской ассоциации участников рынка драгоценных металлов.</w:t>
      </w:r>
    </w:p>
    <w:p w14:paraId="423A3080"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sz w:val="24"/>
          <w:lang w:bidi="ru-RU"/>
        </w:rPr>
        <w:t>Лондонская ассоциация участников рынка драгоценных металлов также поддерживает инициативы, способствующие созданию ответственных цепочек поставок для всех форм добычи в районах, считающихся зонами высокого риска возникновения конфликтов или нарушения прав человека.</w:t>
      </w:r>
    </w:p>
    <w:p w14:paraId="7ADBCC72" w14:textId="5AB76E5D" w:rsidR="004874BD" w:rsidRPr="00A02988" w:rsidRDefault="00777031" w:rsidP="00A02988">
      <w:pPr>
        <w:pStyle w:val="2"/>
        <w:keepNext/>
        <w:spacing w:before="100" w:beforeAutospacing="1" w:after="100" w:afterAutospacing="1" w:line="320" w:lineRule="exact"/>
        <w:ind w:left="0" w:firstLine="0"/>
        <w:rPr>
          <w:sz w:val="32"/>
        </w:rPr>
      </w:pPr>
      <w:r w:rsidRPr="00A02988">
        <w:rPr>
          <w:sz w:val="32"/>
        </w:rPr>
        <w:lastRenderedPageBreak/>
        <w:t>Область применения</w:t>
      </w:r>
    </w:p>
    <w:p w14:paraId="5D53A113" w14:textId="742002C4"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sz w:val="24"/>
          <w:lang w:bidi="ru-RU"/>
        </w:rPr>
        <w:t xml:space="preserve">Все аффинажные предприятия, производящие серебряные слитки со статусом «надежная поставка», присвоенным Лондонской ассоциацией участников рынка драгоценных металлов, должны соответствовать требованиям данного Руководства, чтобы оставаться в Списке надежных поставщиков. Аффинажное предприятие, претендующее на получение статуса </w:t>
      </w:r>
      <w:proofErr w:type="spellStart"/>
      <w:r w:rsidRPr="00A02988">
        <w:rPr>
          <w:sz w:val="24"/>
          <w:lang w:bidi="ru-RU"/>
        </w:rPr>
        <w:t>Аффинажера</w:t>
      </w:r>
      <w:proofErr w:type="spellEnd"/>
      <w:r w:rsidRPr="00A02988">
        <w:rPr>
          <w:sz w:val="24"/>
          <w:lang w:bidi="ru-RU"/>
        </w:rPr>
        <w:t xml:space="preserve"> серебра, аккредитованного Лондонской ассоциацией участников рынка драгоценных металлов как надежный поставщик после 1 января 2018 г., должно внедрить данное Руководство и пройти аудит, охватывающий период в 12 месяцев, прежде чем быть внесенным в Список надежных поставщиков. Все кандидаты на занесение в Список надежных поставщиков должны привлечь аудитора, включенного в Список утвержденных </w:t>
      </w:r>
      <w:proofErr w:type="gramStart"/>
      <w:r w:rsidRPr="00A02988">
        <w:rPr>
          <w:sz w:val="24"/>
          <w:lang w:bidi="ru-RU"/>
        </w:rPr>
        <w:t>поставщиков услуг Лондонской ассоциации участников рынка драгоценных</w:t>
      </w:r>
      <w:proofErr w:type="gramEnd"/>
      <w:r w:rsidRPr="00A02988">
        <w:rPr>
          <w:sz w:val="24"/>
          <w:lang w:bidi="ru-RU"/>
        </w:rPr>
        <w:t xml:space="preserve"> металлов (доступен на </w:t>
      </w:r>
      <w:hyperlink r:id="rId8">
        <w:r w:rsidRPr="00A02988">
          <w:rPr>
            <w:sz w:val="24"/>
            <w:lang w:bidi="ru-RU"/>
          </w:rPr>
          <w:t>веб-сайте Лондонской ассоциации участников рынка драгоценных металлов</w:t>
        </w:r>
      </w:hyperlink>
      <w:r w:rsidRPr="00A02988">
        <w:rPr>
          <w:sz w:val="24"/>
          <w:lang w:bidi="ru-RU"/>
        </w:rPr>
        <w:t>). Сертификат Лондонской ассоциации участников рынка драгоценных металлов по ответственному обращению с серебром выдается только тем Аффинажным предприятиям из Списка надежных поставщиков, которые успешно прошли ежегодный аудит.</w:t>
      </w:r>
    </w:p>
    <w:p w14:paraId="1A925791" w14:textId="0B76800E" w:rsidR="004874BD" w:rsidRPr="00A02988" w:rsidRDefault="00A02988" w:rsidP="00A02988">
      <w:pPr>
        <w:pStyle w:val="2"/>
        <w:spacing w:before="100" w:beforeAutospacing="1" w:after="100" w:afterAutospacing="1" w:line="320" w:lineRule="exact"/>
        <w:ind w:left="0" w:firstLine="0"/>
        <w:rPr>
          <w:sz w:val="32"/>
        </w:rPr>
      </w:pPr>
      <w:r>
        <w:rPr>
          <w:sz w:val="32"/>
        </w:rPr>
        <w:t>Определения</w:t>
      </w:r>
    </w:p>
    <w:p w14:paraId="6759BD2D" w14:textId="19FE68D5"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 xml:space="preserve">Противодействие отмыванию денег (AML) </w:t>
      </w:r>
      <w:r w:rsidR="005C5121" w:rsidRPr="00A02988">
        <w:rPr>
          <w:b/>
          <w:sz w:val="24"/>
          <w:lang w:bidi="ru-RU"/>
        </w:rPr>
        <w:t xml:space="preserve">— </w:t>
      </w:r>
      <w:r w:rsidRPr="00A02988">
        <w:rPr>
          <w:b/>
          <w:sz w:val="24"/>
          <w:lang w:bidi="ru-RU"/>
        </w:rPr>
        <w:t>Борьба с финансированием терроризма (CFT)</w:t>
      </w:r>
      <w:r w:rsidRPr="00A02988">
        <w:rPr>
          <w:sz w:val="24"/>
          <w:lang w:bidi="ru-RU"/>
        </w:rPr>
        <w:t xml:space="preserve"> Противодействие отмыванию денег/Борьба с финансированием терроризма.</w:t>
      </w:r>
    </w:p>
    <w:p w14:paraId="4704EEF7"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Разжигание конфликтов</w:t>
      </w:r>
      <w:r w:rsidRPr="00A02988">
        <w:rPr>
          <w:sz w:val="24"/>
          <w:lang w:bidi="ru-RU"/>
        </w:rPr>
        <w:t>: Содействие вооруженной агрессии между двумя или несколькими сторонами, которая приводит к нарушениям прав человека. Сторонами в конфликте могут выступать правительство, отряды самообороны, организованная преступность или террористические группы.</w:t>
      </w:r>
    </w:p>
    <w:p w14:paraId="5C9FCE54"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Минимальное пороговое значение</w:t>
      </w:r>
      <w:r w:rsidRPr="00A02988">
        <w:rPr>
          <w:sz w:val="24"/>
          <w:lang w:bidi="ru-RU"/>
        </w:rPr>
        <w:t xml:space="preserve">: Материал, содержащий меньше 15% серебра по весу (в килограммах), может быть исключен из области применения настоящего Руководства. </w:t>
      </w:r>
      <w:proofErr w:type="gramStart"/>
      <w:r w:rsidRPr="00A02988">
        <w:rPr>
          <w:sz w:val="24"/>
          <w:lang w:bidi="ru-RU"/>
        </w:rPr>
        <w:t>Если Аффинажное предприятие считает, что материал выходит за рамки настоящего Руководства, он должен полностью задокументировать процесс принятия решения, на основании которого он пришел к выводу, что материал не представляет риска содействия систематическим или широко распространенным нарушениям прав человека, не способствует конфликтам и соответствует высоким стандартам противодействию отмыванию денег и борьбы с финансированием терроризма.</w:t>
      </w:r>
      <w:proofErr w:type="gramEnd"/>
    </w:p>
    <w:p w14:paraId="239A7F4C"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Прежние запасы</w:t>
      </w:r>
      <w:r w:rsidRPr="00A02988">
        <w:rPr>
          <w:sz w:val="24"/>
          <w:lang w:bidi="ru-RU"/>
        </w:rPr>
        <w:t xml:space="preserve">: Серебряные инвестиционные продукты (слитки, монеты и крупицы серебряного песка в запечатанных контейнерах), хранящиеся в хранилищах банков по операциям с драгоценными металлами, хранилищах центральных банков, на биржах и аффинажных предприятиях, проверяемая дата по которым приходится до 1 января 2018 г. и происхождение которых определять не нужно. Сюда входят запасы, принадлежащие третьему лицу от имени компаний, включенных в список. </w:t>
      </w:r>
    </w:p>
    <w:p w14:paraId="4E7B8AEF" w14:textId="3A2B29D3"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lastRenderedPageBreak/>
        <w:t>Права человека</w:t>
      </w:r>
      <w:r w:rsidRPr="00A02988">
        <w:rPr>
          <w:sz w:val="24"/>
          <w:lang w:bidi="ru-RU"/>
        </w:rPr>
        <w:t>: Для целей настоящего Руководства права человека означают права, определенные в Международной хартии прав человека. Хартия включает Всеобщую декларацию прав человека (1948 г.), Международный пакт об экономических, социальных и культурных правах (1966 г.), Международный пакт о гражданских и политических правах (1966 г.), а также два Факультативных протокола.</w:t>
      </w:r>
      <w:r w:rsidR="00AD1070" w:rsidRPr="00A02988">
        <w:footnoteReference w:id="1"/>
      </w:r>
    </w:p>
    <w:p w14:paraId="62505562"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ISAE 3000</w:t>
      </w:r>
      <w:r w:rsidRPr="00A02988">
        <w:rPr>
          <w:sz w:val="24"/>
          <w:lang w:bidi="ru-RU"/>
        </w:rPr>
        <w:t>: Международный стандарт по заданиям по подтверждению достоверности информации ISAE 3000, Задания по подтверждению достоверности информации, отличные от аудита или обзорных проверок исторической финансовой информации.</w:t>
      </w:r>
    </w:p>
    <w:p w14:paraId="780E59C7"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ISO 19011:2011</w:t>
      </w:r>
      <w:r w:rsidRPr="00A02988">
        <w:rPr>
          <w:sz w:val="24"/>
          <w:lang w:bidi="ru-RU"/>
        </w:rPr>
        <w:t>: Международный стандарт аудита систем менеджмента, включая принципы аудита, управления программой аудита и проведения аудитов систем менеджмента, а также руководство по оценке компетентности лиц, вовлеченных в процесс аудита, включая лицо, управляющее программой аудита, аудиторов и группы аудиторов.</w:t>
      </w:r>
    </w:p>
    <w:p w14:paraId="1814F667" w14:textId="124844E4"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Добытое серебро</w:t>
      </w:r>
      <w:r w:rsidRPr="00A02988">
        <w:rPr>
          <w:sz w:val="24"/>
          <w:lang w:bidi="ru-RU"/>
        </w:rPr>
        <w:t>: Источником Добытого серебра является сам рудник, будь то кустарный и мелкий рудник, либо средний или крупный рудник.</w:t>
      </w:r>
      <w:r w:rsidR="00E35C37" w:rsidRPr="00A02988">
        <w:rPr>
          <w:sz w:val="24"/>
          <w:lang w:bidi="ru-RU"/>
        </w:rPr>
        <w:t xml:space="preserve"> </w:t>
      </w:r>
      <w:r w:rsidRPr="00A02988">
        <w:rPr>
          <w:sz w:val="24"/>
          <w:lang w:bidi="ru-RU"/>
        </w:rPr>
        <w:t xml:space="preserve">Исключением является Попутный продукт добычи, </w:t>
      </w:r>
      <w:r w:rsidR="001450D1" w:rsidRPr="00A02988">
        <w:rPr>
          <w:sz w:val="24"/>
          <w:lang w:bidi="ru-RU"/>
        </w:rPr>
        <w:t>например,</w:t>
      </w:r>
      <w:r w:rsidRPr="00A02988">
        <w:rPr>
          <w:sz w:val="24"/>
          <w:lang w:bidi="ru-RU"/>
        </w:rPr>
        <w:t xml:space="preserve"> серебро, полученное при добыче цветных металлов </w:t>
      </w:r>
      <w:r w:rsidR="005C5121" w:rsidRPr="00A02988">
        <w:rPr>
          <w:sz w:val="24"/>
          <w:lang w:bidi="ru-RU"/>
        </w:rPr>
        <w:t xml:space="preserve">— </w:t>
      </w:r>
      <w:r w:rsidRPr="00A02988">
        <w:rPr>
          <w:sz w:val="24"/>
          <w:lang w:bidi="ru-RU"/>
        </w:rPr>
        <w:t>полезных ископаемых, выходящих за рамки настоящего Руководства.</w:t>
      </w:r>
      <w:r w:rsidR="00E35C37" w:rsidRPr="00A02988">
        <w:rPr>
          <w:sz w:val="24"/>
          <w:lang w:bidi="ru-RU"/>
        </w:rPr>
        <w:t xml:space="preserve"> </w:t>
      </w:r>
      <w:r w:rsidRPr="00A02988">
        <w:rPr>
          <w:sz w:val="24"/>
          <w:lang w:bidi="ru-RU"/>
        </w:rPr>
        <w:t>Происхождением серебра как попутного продукта добычи следует считать место, в котором попутное серебро впервые отделяется от материнской минеральной руды (например, аффинажное предприятие). Комплексная экспертиза, проводимая Аффинажным предприятием, должна подтвердить отсутствие ложных заверений с целью сокрытия происхождения недавно Добытого серебра с помощью Попутных продуктов добычи.</w:t>
      </w:r>
    </w:p>
    <w:p w14:paraId="0E52B9AF" w14:textId="6308D5E5"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Попутный продукт добычи</w:t>
      </w:r>
      <w:r w:rsidRPr="00A02988">
        <w:rPr>
          <w:sz w:val="24"/>
          <w:lang w:bidi="ru-RU"/>
        </w:rPr>
        <w:t>: Серебро, получаемое при добыче др</w:t>
      </w:r>
      <w:r w:rsidR="000503F2" w:rsidRPr="00A02988">
        <w:rPr>
          <w:sz w:val="24"/>
          <w:lang w:bidi="ru-RU"/>
        </w:rPr>
        <w:t xml:space="preserve">угих цветных металлов, </w:t>
      </w:r>
      <w:r w:rsidR="001450D1" w:rsidRPr="00A02988">
        <w:rPr>
          <w:sz w:val="24"/>
          <w:lang w:bidi="ru-RU"/>
        </w:rPr>
        <w:t>например,</w:t>
      </w:r>
      <w:r w:rsidRPr="00A02988">
        <w:rPr>
          <w:sz w:val="24"/>
          <w:lang w:bidi="ru-RU"/>
        </w:rPr>
        <w:t xml:space="preserve"> из свинцовой, цинковой, медной руды, в которой серебро может быть следовым компонентом. Когда серебро является попутным продуктом, сначала перерабатывается и подвергается аффинажу другой более важный металл, а серебро затем извлекается и подвергается аффинажу из конечного остатка первичного металла, </w:t>
      </w:r>
      <w:r w:rsidR="001450D1" w:rsidRPr="00A02988">
        <w:rPr>
          <w:sz w:val="24"/>
          <w:lang w:bidi="ru-RU"/>
        </w:rPr>
        <w:t>например,</w:t>
      </w:r>
      <w:r w:rsidRPr="00A02988">
        <w:rPr>
          <w:sz w:val="24"/>
          <w:lang w:bidi="ru-RU"/>
        </w:rPr>
        <w:t xml:space="preserve"> из остатков, образовавшихся от выщелачивания цинковой руды, шлама медных электролитических ячеек или шлама, образовавшегося после очистки свинцовых анодов.</w:t>
      </w:r>
    </w:p>
    <w:p w14:paraId="19FFC658" w14:textId="7E17242F"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Отмывание денег</w:t>
      </w:r>
      <w:r w:rsidRPr="00A02988">
        <w:rPr>
          <w:sz w:val="24"/>
          <w:lang w:bidi="ru-RU"/>
        </w:rPr>
        <w:t xml:space="preserve">: Отмывание денег </w:t>
      </w:r>
      <w:r w:rsidR="005C5121" w:rsidRPr="00A02988">
        <w:rPr>
          <w:sz w:val="24"/>
          <w:lang w:bidi="ru-RU"/>
        </w:rPr>
        <w:t xml:space="preserve">— </w:t>
      </w:r>
      <w:r w:rsidRPr="00A02988">
        <w:rPr>
          <w:sz w:val="24"/>
          <w:lang w:bidi="ru-RU"/>
        </w:rPr>
        <w:t>это практика сокрытия происхождения денег, полученных незаконным путем.</w:t>
      </w:r>
      <w:r w:rsidR="00E35C37" w:rsidRPr="00A02988">
        <w:rPr>
          <w:sz w:val="24"/>
          <w:lang w:bidi="ru-RU"/>
        </w:rPr>
        <w:t xml:space="preserve"> </w:t>
      </w:r>
      <w:r w:rsidRPr="00A02988">
        <w:rPr>
          <w:sz w:val="24"/>
          <w:lang w:bidi="ru-RU"/>
        </w:rPr>
        <w:t xml:space="preserve">В конечном счете, это процесс, с помощью которого доходы от преступной деятельности выдаются </w:t>
      </w:r>
      <w:proofErr w:type="gramStart"/>
      <w:r w:rsidRPr="00A02988">
        <w:rPr>
          <w:sz w:val="24"/>
          <w:lang w:bidi="ru-RU"/>
        </w:rPr>
        <w:t>за</w:t>
      </w:r>
      <w:proofErr w:type="gramEnd"/>
      <w:r w:rsidRPr="00A02988">
        <w:rPr>
          <w:sz w:val="24"/>
          <w:lang w:bidi="ru-RU"/>
        </w:rPr>
        <w:t xml:space="preserve"> законные. Деньги могут быть получены в результате совершения какого-либо количества преступных действий, включая торговлю наркотиками, коррупцию и иные виды мошенничества.</w:t>
      </w:r>
      <w:r w:rsidR="00E35C37" w:rsidRPr="00A02988">
        <w:rPr>
          <w:sz w:val="24"/>
          <w:lang w:bidi="ru-RU"/>
        </w:rPr>
        <w:t xml:space="preserve"> </w:t>
      </w:r>
      <w:r w:rsidRPr="00A02988">
        <w:rPr>
          <w:sz w:val="24"/>
          <w:lang w:bidi="ru-RU"/>
        </w:rPr>
        <w:t xml:space="preserve">Способы отмывания денег разнообразны, </w:t>
      </w:r>
      <w:proofErr w:type="gramStart"/>
      <w:r w:rsidRPr="00A02988">
        <w:rPr>
          <w:sz w:val="24"/>
          <w:lang w:bidi="ru-RU"/>
        </w:rPr>
        <w:t>от</w:t>
      </w:r>
      <w:proofErr w:type="gramEnd"/>
      <w:r w:rsidRPr="00A02988">
        <w:rPr>
          <w:sz w:val="24"/>
          <w:lang w:bidi="ru-RU"/>
        </w:rPr>
        <w:t xml:space="preserve"> простых до сложных.</w:t>
      </w:r>
    </w:p>
    <w:p w14:paraId="65E9D0F1" w14:textId="28DB494C"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lastRenderedPageBreak/>
        <w:t>Политически значимые лица (ПЗЛ)</w:t>
      </w:r>
      <w:r w:rsidRPr="00A02988">
        <w:rPr>
          <w:sz w:val="24"/>
          <w:lang w:bidi="ru-RU"/>
        </w:rPr>
        <w:t xml:space="preserve">: Иностранные ПЗЛ означают лиц, на которых иностранным государством возложены или были возложены важные государственные функции, </w:t>
      </w:r>
      <w:r w:rsidR="004E45EA" w:rsidRPr="00A02988">
        <w:rPr>
          <w:sz w:val="24"/>
          <w:lang w:bidi="ru-RU"/>
        </w:rPr>
        <w:t>например,</w:t>
      </w:r>
      <w:r w:rsidRPr="00A02988">
        <w:rPr>
          <w:sz w:val="24"/>
          <w:lang w:bidi="ru-RU"/>
        </w:rPr>
        <w:t xml:space="preserve"> главы государств или правительств, высокопоставленные политики, высокопоставленные правительственные, судебные или военные должностные лица, руководители высшего звена государственных корпораций, важные должностные лица политические партий. Внутренние ПЗЛ означают лиц, на которых возложены или были возложены важные государственные функции в рамках страны, </w:t>
      </w:r>
      <w:r w:rsidR="00B311FA" w:rsidRPr="00A02988">
        <w:rPr>
          <w:sz w:val="24"/>
          <w:lang w:bidi="ru-RU"/>
        </w:rPr>
        <w:t>например,</w:t>
      </w:r>
      <w:r w:rsidRPr="00A02988">
        <w:rPr>
          <w:sz w:val="24"/>
          <w:lang w:bidi="ru-RU"/>
        </w:rPr>
        <w:t xml:space="preserve"> главы государств или правительств, высокопоставленные политики, высокопоставленные правительственные, судебные или военные должностные лица, руководители высшего звена государственных корпораций, важные должностные лица политические партий. Под лицами, на которых международной организацией возложены или были возложены важные функции, подразумеваются члены высшего руководства, то есть директоры, заместители директора, а также члены совета или аналогичных функций. Под определение ПЗЛ не попадают лица среднего звена или более младшего звена в вышеуказанных категориях.</w:t>
      </w:r>
    </w:p>
    <w:p w14:paraId="17EF883F"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Переработанное серебро</w:t>
      </w:r>
      <w:r w:rsidRPr="00A02988">
        <w:rPr>
          <w:sz w:val="24"/>
          <w:lang w:bidi="ru-RU"/>
        </w:rPr>
        <w:t xml:space="preserve">: Серебро, которое было подвергнуто аффинажу. Термин традиционно включает все, что </w:t>
      </w:r>
      <w:proofErr w:type="gramStart"/>
      <w:r w:rsidRPr="00A02988">
        <w:rPr>
          <w:sz w:val="24"/>
          <w:lang w:bidi="ru-RU"/>
        </w:rPr>
        <w:t>содержит серебро и при этом не было</w:t>
      </w:r>
      <w:proofErr w:type="gramEnd"/>
      <w:r w:rsidRPr="00A02988">
        <w:rPr>
          <w:sz w:val="24"/>
          <w:lang w:bidi="ru-RU"/>
        </w:rPr>
        <w:t xml:space="preserve"> получено непосредственно из рудника в его первом жизненном цикле серебра. На практике к перерабатываемому материалу относится продукция для конечных пользователей, вторичная продукция, лом и отходы металлов, материалы, образующиеся при аффинаже и производстве продукции, а также инвестиционное серебро и серебросодержащее сырье. В эту категорию также может входить полностью аффинированное серебро, переделанное в крупицы, слитки со статусом «надежная поставка», медальоны и монеты, ранее проданные аффинажным предприятием производителю, банку или потребительскому рынку, и которое впоследствии может потребоваться вернуть на аффинажное предприятие для восстановления их финансовой стоимости.</w:t>
      </w:r>
    </w:p>
    <w:p w14:paraId="58C91CFF" w14:textId="5D4AB255"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Серебро, переработанное в качестве попутного продукта</w:t>
      </w:r>
      <w:r w:rsidRPr="00A02988">
        <w:rPr>
          <w:sz w:val="24"/>
          <w:lang w:bidi="ru-RU"/>
        </w:rPr>
        <w:t xml:space="preserve">: </w:t>
      </w:r>
      <w:proofErr w:type="gramStart"/>
      <w:r w:rsidRPr="00A02988">
        <w:rPr>
          <w:sz w:val="24"/>
          <w:lang w:bidi="ru-RU"/>
        </w:rPr>
        <w:t>Серебро, полученное из других переработанных материалов, например</w:t>
      </w:r>
      <w:r w:rsidR="00B11BBF" w:rsidRPr="00A02988">
        <w:rPr>
          <w:sz w:val="24"/>
          <w:lang w:bidi="ru-RU"/>
        </w:rPr>
        <w:t>,</w:t>
      </w:r>
      <w:r w:rsidRPr="00A02988">
        <w:rPr>
          <w:sz w:val="24"/>
          <w:lang w:bidi="ru-RU"/>
        </w:rPr>
        <w:t xml:space="preserve"> из вторичных материалов</w:t>
      </w:r>
      <w:r w:rsidR="00F1696A" w:rsidRPr="00A02988">
        <w:rPr>
          <w:sz w:val="24"/>
          <w:lang w:bidi="ru-RU"/>
        </w:rPr>
        <w:t>,</w:t>
      </w:r>
      <w:r w:rsidRPr="00A02988">
        <w:rPr>
          <w:sz w:val="24"/>
          <w:lang w:bidi="ru-RU"/>
        </w:rPr>
        <w:t xml:space="preserve"> содержащих медь, цинк, никель и свинец, в которых серебро может присутствовать в качестве следового компонента.</w:t>
      </w:r>
      <w:proofErr w:type="gramEnd"/>
      <w:r w:rsidR="00E35C37" w:rsidRPr="00A02988">
        <w:rPr>
          <w:sz w:val="24"/>
          <w:lang w:bidi="ru-RU"/>
        </w:rPr>
        <w:t xml:space="preserve"> </w:t>
      </w:r>
      <w:r w:rsidRPr="00A02988">
        <w:rPr>
          <w:sz w:val="24"/>
          <w:lang w:bidi="ru-RU"/>
        </w:rPr>
        <w:t>Когда серебро является попутным продуктом, сначала перерабатывается и подвергается аффинажу другой, более важный материал, а затем из конечного остатка извлекается и подвергается аффинажу серебро.</w:t>
      </w:r>
    </w:p>
    <w:p w14:paraId="24C44450"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Происхождение переработанного серебра</w:t>
      </w:r>
      <w:r w:rsidRPr="00A02988">
        <w:rPr>
          <w:sz w:val="24"/>
          <w:lang w:bidi="ru-RU"/>
        </w:rPr>
        <w:t>: Происхождением переработанного серебра считается точка в цепочке поставок серебра, где серебро возвращается на аффинажное предприятие. Для серебряных слитков также следует указать наименование Аффинажного предприятия.</w:t>
      </w:r>
    </w:p>
    <w:p w14:paraId="20EDCC9F"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Поставщик</w:t>
      </w:r>
      <w:r w:rsidRPr="00A02988">
        <w:rPr>
          <w:sz w:val="24"/>
          <w:lang w:bidi="ru-RU"/>
        </w:rPr>
        <w:t>: Термин относится к физическому лицу или организации, которые считаются участником цепочки поставок серебра и серебросодержащих материалов.</w:t>
      </w:r>
    </w:p>
    <w:p w14:paraId="043CEFBD" w14:textId="0EF9E140"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lastRenderedPageBreak/>
        <w:t>Финансировани</w:t>
      </w:r>
      <w:r w:rsidR="00A02988">
        <w:rPr>
          <w:b/>
          <w:sz w:val="24"/>
          <w:lang w:bidi="ru-RU"/>
        </w:rPr>
        <w:t>е</w:t>
      </w:r>
      <w:r w:rsidRPr="00A02988">
        <w:rPr>
          <w:b/>
          <w:sz w:val="24"/>
          <w:lang w:bidi="ru-RU"/>
        </w:rPr>
        <w:t xml:space="preserve"> терроризма</w:t>
      </w:r>
      <w:r w:rsidRPr="00A02988">
        <w:rPr>
          <w:sz w:val="24"/>
          <w:lang w:bidi="ru-RU"/>
        </w:rPr>
        <w:t>: Финансирование терроризма включает финансирование террористических актов, террористов и террористических организаций.</w:t>
      </w:r>
    </w:p>
    <w:p w14:paraId="30C5D22B" w14:textId="77777777" w:rsidR="004874BD" w:rsidRPr="00A02988" w:rsidRDefault="00777031" w:rsidP="00A02988">
      <w:pPr>
        <w:pStyle w:val="a3"/>
        <w:widowControl/>
        <w:tabs>
          <w:tab w:val="left" w:pos="426"/>
        </w:tabs>
        <w:spacing w:before="100" w:beforeAutospacing="1" w:after="100" w:afterAutospacing="1" w:line="320" w:lineRule="exact"/>
        <w:jc w:val="both"/>
        <w:rPr>
          <w:sz w:val="24"/>
          <w:lang w:bidi="ru-RU"/>
        </w:rPr>
      </w:pPr>
      <w:r w:rsidRPr="00A02988">
        <w:rPr>
          <w:b/>
          <w:sz w:val="24"/>
          <w:lang w:bidi="ru-RU"/>
        </w:rPr>
        <w:t>Проверяемая дата</w:t>
      </w:r>
      <w:r w:rsidRPr="00A02988">
        <w:rPr>
          <w:sz w:val="24"/>
          <w:lang w:bidi="ru-RU"/>
        </w:rPr>
        <w:t>: Дата, которую можно проверить путем изучения физических штампов с датой на продуктах и/или инвентарных списках. К Прежним запасам Аффинажного предприятия, с последующей датой или без проверяемой даты, применяются те же требования, что и к другим серебросодержащим материалам; то есть Аффинажное предприятие должно предоставить тот же объем исходной документации/документации по руднику.</w:t>
      </w:r>
    </w:p>
    <w:p w14:paraId="0D76D3E8" w14:textId="153A28EB" w:rsidR="004874BD" w:rsidRPr="00A02988" w:rsidRDefault="004874BD" w:rsidP="00057DAC">
      <w:pPr>
        <w:widowControl/>
        <w:tabs>
          <w:tab w:val="left" w:pos="426"/>
        </w:tabs>
        <w:spacing w:after="120"/>
        <w:rPr>
          <w:sz w:val="24"/>
        </w:rPr>
      </w:pPr>
    </w:p>
    <w:p w14:paraId="22AC2846" w14:textId="77777777" w:rsidR="004874BD" w:rsidRPr="00A02988" w:rsidRDefault="004874BD" w:rsidP="00057DAC">
      <w:pPr>
        <w:widowControl/>
        <w:tabs>
          <w:tab w:val="left" w:pos="426"/>
        </w:tabs>
        <w:spacing w:after="120"/>
        <w:rPr>
          <w:sz w:val="24"/>
        </w:rPr>
        <w:sectPr w:rsidR="004874BD" w:rsidRPr="00A02988" w:rsidSect="00173500">
          <w:footerReference w:type="default" r:id="rId9"/>
          <w:pgSz w:w="11907" w:h="16840" w:code="9"/>
          <w:pgMar w:top="1134" w:right="1134" w:bottom="1134" w:left="1134" w:header="0" w:footer="465" w:gutter="0"/>
          <w:cols w:space="720"/>
        </w:sectPr>
      </w:pPr>
    </w:p>
    <w:p w14:paraId="135A7550" w14:textId="2875D813" w:rsidR="004874BD" w:rsidRPr="00A02988" w:rsidRDefault="00777031" w:rsidP="00A02988">
      <w:pPr>
        <w:pStyle w:val="2"/>
        <w:spacing w:before="100" w:beforeAutospacing="1" w:after="100" w:afterAutospacing="1" w:line="320" w:lineRule="exact"/>
        <w:ind w:left="0" w:firstLine="0"/>
        <w:rPr>
          <w:sz w:val="32"/>
        </w:rPr>
      </w:pPr>
      <w:bookmarkStart w:id="2" w:name="STEP_1_-_Establish_strong_company_manage"/>
      <w:bookmarkEnd w:id="2"/>
      <w:r w:rsidRPr="00A02988">
        <w:rPr>
          <w:sz w:val="32"/>
        </w:rPr>
        <w:lastRenderedPageBreak/>
        <w:t xml:space="preserve">ШАГ 1 </w:t>
      </w:r>
      <w:r w:rsidR="005C5121" w:rsidRPr="00A02988">
        <w:rPr>
          <w:sz w:val="32"/>
        </w:rPr>
        <w:t xml:space="preserve">– </w:t>
      </w:r>
      <w:r w:rsidRPr="00A02988">
        <w:rPr>
          <w:sz w:val="32"/>
        </w:rPr>
        <w:t>Создание надеж</w:t>
      </w:r>
      <w:r w:rsidR="00A02988">
        <w:rPr>
          <w:sz w:val="32"/>
        </w:rPr>
        <w:t>ных систем управления компанией</w:t>
      </w:r>
    </w:p>
    <w:p w14:paraId="624450F1" w14:textId="77777777" w:rsidR="004874BD" w:rsidRPr="00A02988" w:rsidRDefault="00777031" w:rsidP="00A02988">
      <w:pPr>
        <w:pStyle w:val="2"/>
        <w:widowControl/>
        <w:numPr>
          <w:ilvl w:val="0"/>
          <w:numId w:val="4"/>
        </w:numPr>
        <w:tabs>
          <w:tab w:val="left" w:pos="426"/>
          <w:tab w:val="left" w:pos="580"/>
        </w:tabs>
        <w:spacing w:before="100" w:beforeAutospacing="1" w:after="100" w:afterAutospacing="1" w:line="320" w:lineRule="exact"/>
        <w:ind w:left="0" w:firstLine="0"/>
        <w:rPr>
          <w:sz w:val="24"/>
        </w:rPr>
      </w:pPr>
      <w:bookmarkStart w:id="3" w:name="1._Adopt_a_company_policy_regarding_due_"/>
      <w:bookmarkEnd w:id="3"/>
      <w:r w:rsidRPr="00A02988">
        <w:rPr>
          <w:sz w:val="24"/>
          <w:lang w:bidi="ru-RU"/>
        </w:rPr>
        <w:t xml:space="preserve"> Принятие политики компании в отношении комплексной экспертизы цепочек поставок серебра</w:t>
      </w:r>
    </w:p>
    <w:p w14:paraId="09B4FCD0" w14:textId="77777777" w:rsidR="004874BD" w:rsidRPr="00A02988" w:rsidRDefault="00777031" w:rsidP="00A02988">
      <w:pPr>
        <w:pStyle w:val="a3"/>
        <w:widowControl/>
        <w:tabs>
          <w:tab w:val="left" w:pos="426"/>
        </w:tabs>
        <w:spacing w:before="100" w:beforeAutospacing="1" w:after="100" w:afterAutospacing="1" w:line="320" w:lineRule="exact"/>
        <w:jc w:val="both"/>
        <w:rPr>
          <w:sz w:val="24"/>
        </w:rPr>
      </w:pPr>
      <w:r w:rsidRPr="00A02988">
        <w:rPr>
          <w:sz w:val="24"/>
          <w:lang w:bidi="ru-RU"/>
        </w:rPr>
        <w:t>Аффинажные предприятия должны внедрить политику ответственного подхода к цепочке поставок серебра, которая соответствует Типовой политике, приведенной в Приложении II к Руководящим принципам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w:t>
      </w:r>
    </w:p>
    <w:p w14:paraId="3BC5CCC2" w14:textId="40B2A9D4" w:rsidR="004874BD" w:rsidRPr="00A02988" w:rsidRDefault="00777031" w:rsidP="00A02988">
      <w:pPr>
        <w:pStyle w:val="a3"/>
        <w:widowControl/>
        <w:tabs>
          <w:tab w:val="left" w:pos="426"/>
        </w:tabs>
        <w:spacing w:before="100" w:beforeAutospacing="1" w:after="100" w:afterAutospacing="1" w:line="320" w:lineRule="exact"/>
        <w:jc w:val="both"/>
        <w:rPr>
          <w:sz w:val="24"/>
        </w:rPr>
      </w:pPr>
      <w:r w:rsidRPr="00A02988">
        <w:rPr>
          <w:sz w:val="24"/>
          <w:lang w:bidi="ru-RU"/>
        </w:rPr>
        <w:t>Аффинажные предприятия обязаны проводить комплексную проверку всех поставляемых им материалов, независимо от содержания серебра</w:t>
      </w:r>
      <w:proofErr w:type="gramStart"/>
      <w:r w:rsidRPr="00A02988">
        <w:rPr>
          <w:sz w:val="24"/>
          <w:lang w:bidi="ru-RU"/>
        </w:rPr>
        <w:t xml:space="preserve"> (%) </w:t>
      </w:r>
      <w:proofErr w:type="gramEnd"/>
      <w:r w:rsidRPr="00A02988">
        <w:rPr>
          <w:sz w:val="24"/>
          <w:lang w:bidi="ru-RU"/>
        </w:rPr>
        <w:t xml:space="preserve">или количества (унции). </w:t>
      </w:r>
      <w:proofErr w:type="gramStart"/>
      <w:r w:rsidRPr="00A02988">
        <w:rPr>
          <w:sz w:val="24"/>
          <w:lang w:bidi="ru-RU"/>
        </w:rPr>
        <w:t>Если материал, содержащий меньше 15% серебра по весу (Минимальное пороговое значение),</w:t>
      </w:r>
      <w:r w:rsidR="00E35C37" w:rsidRPr="00A02988">
        <w:rPr>
          <w:sz w:val="24"/>
          <w:lang w:bidi="ru-RU"/>
        </w:rPr>
        <w:t xml:space="preserve"> </w:t>
      </w:r>
      <w:r w:rsidRPr="00A02988">
        <w:rPr>
          <w:sz w:val="24"/>
          <w:lang w:bidi="ru-RU"/>
        </w:rPr>
        <w:t xml:space="preserve">выходит за рамки настоящего </w:t>
      </w:r>
      <w:r w:rsidRPr="00A02988">
        <w:rPr>
          <w:i/>
          <w:sz w:val="24"/>
          <w:lang w:bidi="ru-RU"/>
        </w:rPr>
        <w:t>Руководства</w:t>
      </w:r>
      <w:r w:rsidRPr="00A02988">
        <w:rPr>
          <w:sz w:val="24"/>
          <w:lang w:bidi="ru-RU"/>
        </w:rPr>
        <w:t>, Аффинажные предприятия должны полностью задокументировать процесс принятия решения, на основании которого они пришли к выводу, что материал не представляет риска содействия систематическим или широко распространенным нарушениям прав человека, не способствует конфликтам и соответствует высоким стандартам противодействию отмыванию денег и борьбы с финансированием терроризма.</w:t>
      </w:r>
      <w:proofErr w:type="gramEnd"/>
      <w:r w:rsidRPr="00A02988">
        <w:rPr>
          <w:sz w:val="24"/>
          <w:lang w:bidi="ru-RU"/>
        </w:rPr>
        <w:t xml:space="preserve"> По умолчанию считается, что материал, содержащий больше 15% серебра, подпадает под действие настоящего </w:t>
      </w:r>
      <w:r w:rsidRPr="00A02988">
        <w:rPr>
          <w:i/>
          <w:sz w:val="24"/>
          <w:lang w:bidi="ru-RU"/>
        </w:rPr>
        <w:t>Руководства</w:t>
      </w:r>
      <w:r w:rsidRPr="00A02988">
        <w:rPr>
          <w:sz w:val="24"/>
          <w:lang w:bidi="ru-RU"/>
        </w:rPr>
        <w:t>.</w:t>
      </w:r>
    </w:p>
    <w:p w14:paraId="5A1CF5ED" w14:textId="77777777" w:rsidR="004874BD" w:rsidRPr="00A02988" w:rsidRDefault="00777031" w:rsidP="00A02988">
      <w:pPr>
        <w:pStyle w:val="a3"/>
        <w:widowControl/>
        <w:tabs>
          <w:tab w:val="left" w:pos="426"/>
        </w:tabs>
        <w:spacing w:before="100" w:beforeAutospacing="1" w:after="100" w:afterAutospacing="1" w:line="320" w:lineRule="exact"/>
        <w:jc w:val="both"/>
        <w:rPr>
          <w:sz w:val="24"/>
        </w:rPr>
      </w:pPr>
      <w:r w:rsidRPr="00A02988">
        <w:rPr>
          <w:sz w:val="24"/>
          <w:lang w:bidi="ru-RU"/>
        </w:rPr>
        <w:t>Во внутренней политике также должны быть подробно рассмотрены следующие вопросы:</w:t>
      </w:r>
    </w:p>
    <w:p w14:paraId="19B48641"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Область применения;</w:t>
      </w:r>
    </w:p>
    <w:p w14:paraId="3D8F28FB"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pacing w:val="-1"/>
          <w:sz w:val="24"/>
          <w:lang w:bidi="ru-RU"/>
        </w:rPr>
        <w:t>Организация и обязанности;</w:t>
      </w:r>
    </w:p>
    <w:p w14:paraId="3823F5F5"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Выявление и оценка рисков, включая все риски, описанные в Приложении II к Руководящим принципам ОЭСР;</w:t>
      </w:r>
    </w:p>
    <w:p w14:paraId="569F8A80"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pacing w:val="-1"/>
          <w:sz w:val="24"/>
          <w:lang w:bidi="ru-RU"/>
        </w:rPr>
        <w:t>Критерии для цепочки поставок серебра с высоким уровнем риска, которые, как минимум, соответствуют требованиям, предусмотренным Шагом 2.2 данного Руководства;</w:t>
      </w:r>
    </w:p>
    <w:p w14:paraId="78FDFE2E"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Подробные и содержательные процедуры проведения Комплексной экспертизы цепочки поставок и процесса</w:t>
      </w:r>
      <w:proofErr w:type="gramStart"/>
      <w:r w:rsidRPr="00A02988">
        <w:rPr>
          <w:sz w:val="24"/>
          <w:lang w:bidi="ru-RU"/>
        </w:rPr>
        <w:t xml:space="preserve"> </w:t>
      </w:r>
      <w:r w:rsidRPr="00A02988">
        <w:rPr>
          <w:i/>
          <w:sz w:val="24"/>
          <w:lang w:bidi="ru-RU"/>
        </w:rPr>
        <w:t>З</w:t>
      </w:r>
      <w:proofErr w:type="gramEnd"/>
      <w:r w:rsidRPr="00A02988">
        <w:rPr>
          <w:i/>
          <w:sz w:val="24"/>
          <w:lang w:bidi="ru-RU"/>
        </w:rPr>
        <w:t>най своего клиента</w:t>
      </w:r>
      <w:r w:rsidRPr="00A02988">
        <w:rPr>
          <w:sz w:val="24"/>
          <w:lang w:bidi="ru-RU"/>
        </w:rPr>
        <w:t xml:space="preserve">, которые, как минимум, соответствуют требованиям, предусмотренным Шагом 2.2 данного </w:t>
      </w:r>
      <w:r w:rsidRPr="00A02988">
        <w:rPr>
          <w:i/>
          <w:sz w:val="24"/>
          <w:lang w:bidi="ru-RU"/>
        </w:rPr>
        <w:t>Руководства</w:t>
      </w:r>
      <w:r w:rsidRPr="00A02988">
        <w:rPr>
          <w:sz w:val="24"/>
          <w:lang w:bidi="ru-RU"/>
        </w:rPr>
        <w:t>;</w:t>
      </w:r>
    </w:p>
    <w:p w14:paraId="430D20F3"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 xml:space="preserve">Мониторинг сделок, которые, как минимум, соответствуют требованиям, предусмотренным Шагом 2.2 данного </w:t>
      </w:r>
      <w:r w:rsidRPr="00A02988">
        <w:rPr>
          <w:i/>
          <w:sz w:val="24"/>
          <w:lang w:bidi="ru-RU"/>
        </w:rPr>
        <w:t>Руководства</w:t>
      </w:r>
      <w:r w:rsidRPr="00A02988">
        <w:rPr>
          <w:sz w:val="24"/>
          <w:lang w:bidi="ru-RU"/>
        </w:rPr>
        <w:t>;</w:t>
      </w:r>
    </w:p>
    <w:p w14:paraId="69B5D607"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 xml:space="preserve">Ведение учета документации по проведенным Комплексным экспертизам и системы </w:t>
      </w:r>
      <w:proofErr w:type="spellStart"/>
      <w:r w:rsidRPr="00A02988">
        <w:rPr>
          <w:sz w:val="24"/>
          <w:lang w:bidi="ru-RU"/>
        </w:rPr>
        <w:t>прослеживаемости</w:t>
      </w:r>
      <w:proofErr w:type="spellEnd"/>
      <w:r w:rsidRPr="00A02988">
        <w:rPr>
          <w:sz w:val="24"/>
          <w:lang w:bidi="ru-RU"/>
        </w:rPr>
        <w:t xml:space="preserve"> цепочки поставок;</w:t>
      </w:r>
    </w:p>
    <w:p w14:paraId="7FE0BCE1"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Обучение персонала.</w:t>
      </w:r>
    </w:p>
    <w:p w14:paraId="01A13A25" w14:textId="77777777" w:rsidR="004874BD" w:rsidRPr="00A02988" w:rsidRDefault="00777031" w:rsidP="00A02988">
      <w:pPr>
        <w:pStyle w:val="2"/>
        <w:widowControl/>
        <w:numPr>
          <w:ilvl w:val="0"/>
          <w:numId w:val="4"/>
        </w:numPr>
        <w:tabs>
          <w:tab w:val="left" w:pos="426"/>
          <w:tab w:val="left" w:pos="580"/>
        </w:tabs>
        <w:spacing w:before="100" w:beforeAutospacing="1" w:after="100" w:afterAutospacing="1" w:line="320" w:lineRule="exact"/>
        <w:ind w:left="0" w:firstLine="0"/>
        <w:rPr>
          <w:sz w:val="24"/>
        </w:rPr>
      </w:pPr>
      <w:bookmarkStart w:id="4" w:name="2._Set_up_an_internal_management_structu"/>
      <w:bookmarkEnd w:id="4"/>
      <w:r w:rsidRPr="00A02988">
        <w:rPr>
          <w:sz w:val="24"/>
          <w:lang w:bidi="ru-RU"/>
        </w:rPr>
        <w:t xml:space="preserve">Создание внутренней структуры управления для содействия проведению комплексной экспертизы цепочки поставок </w:t>
      </w:r>
    </w:p>
    <w:p w14:paraId="3BDA5421" w14:textId="77777777" w:rsidR="004874BD" w:rsidRPr="00A02988" w:rsidRDefault="00777031" w:rsidP="00A02988">
      <w:pPr>
        <w:pStyle w:val="a3"/>
        <w:widowControl/>
        <w:tabs>
          <w:tab w:val="left" w:pos="426"/>
        </w:tabs>
        <w:spacing w:before="100" w:beforeAutospacing="1" w:after="100" w:afterAutospacing="1" w:line="320" w:lineRule="exact"/>
        <w:jc w:val="both"/>
        <w:rPr>
          <w:sz w:val="24"/>
        </w:rPr>
      </w:pPr>
      <w:r w:rsidRPr="00A02988">
        <w:rPr>
          <w:sz w:val="24"/>
          <w:lang w:bidi="ru-RU"/>
        </w:rPr>
        <w:lastRenderedPageBreak/>
        <w:t>Внутренние системы управления аффинажных предприятий должны обеспечивать сбор и хранение документации об источниках Добытого серебра, Переработанного серебра или прочего сырья в рамках настоящего Руководства, чтобы гарантировать, что они не финансировали конфликты, не участвовали в нарушении прав человека или отмывании денег, не финансировали терроризм на каком-либо этапе цепочки поставок. Согласно лучшей практике, общая концепция создания такой структуры выглядит следующим образом:</w:t>
      </w:r>
    </w:p>
    <w:p w14:paraId="70648C14" w14:textId="77777777"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z w:val="24"/>
          <w:lang w:bidi="ru-RU"/>
        </w:rPr>
        <w:t>Уполномочить Высшее руководство, обладающее необходимой компетенцией, знаниями и опытом, на осуществление надзора за процессом проведения комплексной экспертизы цепочки поставок и возложить на него соответствующие обязанности;</w:t>
      </w:r>
    </w:p>
    <w:p w14:paraId="5C5ED1BA" w14:textId="77777777"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z w:val="24"/>
          <w:lang w:bidi="ru-RU"/>
        </w:rPr>
        <w:t>Обеспечить наличие ресурсов, необходимых для поддержки функционирования и мониторинга этих процессов;</w:t>
      </w:r>
    </w:p>
    <w:p w14:paraId="3CA0AD27" w14:textId="77777777"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z w:val="24"/>
          <w:lang w:bidi="ru-RU"/>
        </w:rPr>
        <w:t>Создать организационную структуру и процессы обмена информацией, которые обеспечат доступность важной информации, включая политики компании, для соответствующих сотрудников и контрагентов, поставляющих серебро;</w:t>
      </w:r>
    </w:p>
    <w:p w14:paraId="7B1F902C" w14:textId="77777777"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z w:val="24"/>
          <w:lang w:bidi="ru-RU"/>
        </w:rPr>
        <w:t xml:space="preserve">Обеспечить внутреннюю подотчетность в отношении </w:t>
      </w:r>
      <w:proofErr w:type="gramStart"/>
      <w:r w:rsidRPr="00A02988">
        <w:rPr>
          <w:sz w:val="24"/>
          <w:lang w:bidi="ru-RU"/>
        </w:rPr>
        <w:t>выполнения процесса комплексной экспертизы цепочки поставок</w:t>
      </w:r>
      <w:proofErr w:type="gramEnd"/>
      <w:r w:rsidRPr="00A02988">
        <w:rPr>
          <w:sz w:val="24"/>
          <w:lang w:bidi="ru-RU"/>
        </w:rPr>
        <w:t xml:space="preserve">; </w:t>
      </w:r>
    </w:p>
    <w:p w14:paraId="709F0080"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 xml:space="preserve">Руководители высшего звена должны регулярно проверять эффективность и результативность </w:t>
      </w:r>
      <w:proofErr w:type="gramStart"/>
      <w:r w:rsidRPr="00A02988">
        <w:rPr>
          <w:sz w:val="24"/>
          <w:lang w:bidi="ru-RU"/>
        </w:rPr>
        <w:t>процедур проведения комплексной экспертизы цепочки поставок</w:t>
      </w:r>
      <w:proofErr w:type="gramEnd"/>
      <w:r w:rsidRPr="00A02988">
        <w:rPr>
          <w:sz w:val="24"/>
          <w:lang w:bidi="ru-RU"/>
        </w:rPr>
        <w:t xml:space="preserve"> и документировать полученные результаты таких проверок.</w:t>
      </w:r>
    </w:p>
    <w:p w14:paraId="1EE30FAF" w14:textId="77777777" w:rsidR="004874BD" w:rsidRPr="00A02988" w:rsidRDefault="00777031" w:rsidP="00160F8C">
      <w:pPr>
        <w:pStyle w:val="2"/>
        <w:widowControl/>
        <w:numPr>
          <w:ilvl w:val="0"/>
          <w:numId w:val="4"/>
        </w:numPr>
        <w:tabs>
          <w:tab w:val="left" w:pos="426"/>
          <w:tab w:val="left" w:pos="580"/>
        </w:tabs>
        <w:spacing w:before="100" w:beforeAutospacing="1" w:after="100" w:afterAutospacing="1" w:line="320" w:lineRule="exact"/>
        <w:ind w:left="0" w:firstLine="0"/>
        <w:rPr>
          <w:sz w:val="24"/>
        </w:rPr>
      </w:pPr>
      <w:bookmarkStart w:id="5" w:name="3._Establish_a_strong_internal_system_of"/>
      <w:bookmarkEnd w:id="5"/>
      <w:r w:rsidRPr="00A02988">
        <w:rPr>
          <w:sz w:val="24"/>
          <w:lang w:bidi="ru-RU"/>
        </w:rPr>
        <w:t xml:space="preserve">Создание эффективной внутренней системы Комплексной экспертизы, средств контроля и прозрачности цепочек поставок серебра, включая </w:t>
      </w:r>
      <w:proofErr w:type="spellStart"/>
      <w:r w:rsidRPr="00A02988">
        <w:rPr>
          <w:sz w:val="24"/>
          <w:lang w:bidi="ru-RU"/>
        </w:rPr>
        <w:t>прослеживаемость</w:t>
      </w:r>
      <w:proofErr w:type="spellEnd"/>
      <w:r w:rsidRPr="00A02988">
        <w:rPr>
          <w:sz w:val="24"/>
          <w:lang w:bidi="ru-RU"/>
        </w:rPr>
        <w:t xml:space="preserve"> и идентификацию других участников цепочки поставок</w:t>
      </w:r>
    </w:p>
    <w:p w14:paraId="561EBD56"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bookmarkStart w:id="6" w:name="Supply_chain_traceability_system"/>
      <w:bookmarkEnd w:id="6"/>
      <w:r w:rsidRPr="00A02988">
        <w:rPr>
          <w:w w:val="95"/>
          <w:sz w:val="24"/>
          <w:lang w:bidi="ru-RU"/>
        </w:rPr>
        <w:t xml:space="preserve">Система </w:t>
      </w:r>
      <w:proofErr w:type="spellStart"/>
      <w:r w:rsidRPr="00A02988">
        <w:rPr>
          <w:w w:val="95"/>
          <w:sz w:val="24"/>
          <w:lang w:bidi="ru-RU"/>
        </w:rPr>
        <w:t>прослеживаемости</w:t>
      </w:r>
      <w:proofErr w:type="spellEnd"/>
      <w:r w:rsidRPr="00A02988">
        <w:rPr>
          <w:w w:val="95"/>
          <w:sz w:val="24"/>
          <w:lang w:bidi="ru-RU"/>
        </w:rPr>
        <w:t xml:space="preserve"> цепочки поставок</w:t>
      </w:r>
    </w:p>
    <w:p w14:paraId="1B47E118" w14:textId="3DB6D51C"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Аффинажные предприятия должны внедрить систему </w:t>
      </w:r>
      <w:proofErr w:type="spellStart"/>
      <w:r w:rsidRPr="00A02988">
        <w:rPr>
          <w:sz w:val="24"/>
          <w:lang w:bidi="ru-RU"/>
        </w:rPr>
        <w:t>прослеживаемости</w:t>
      </w:r>
      <w:proofErr w:type="spellEnd"/>
      <w:r w:rsidRPr="00A02988">
        <w:rPr>
          <w:sz w:val="24"/>
          <w:lang w:bidi="ru-RU"/>
        </w:rPr>
        <w:t xml:space="preserve"> цепочки поставок, которая обеспечит сбор и хранение информации по каждой аффинированной партии, включая присвоение уникального номера материалам на входе и выходе таким образом, чтобы </w:t>
      </w:r>
      <w:r w:rsidR="004E45EA" w:rsidRPr="00A02988">
        <w:rPr>
          <w:sz w:val="24"/>
          <w:lang w:bidi="ru-RU"/>
        </w:rPr>
        <w:t>попытка изменить или удалить номер была заметна</w:t>
      </w:r>
      <w:r w:rsidRPr="00A02988">
        <w:rPr>
          <w:sz w:val="24"/>
          <w:lang w:bidi="ru-RU"/>
        </w:rPr>
        <w:t>. Такая информация должна включать:</w:t>
      </w:r>
      <w:r w:rsidR="004E45EA" w:rsidRPr="00A02988">
        <w:rPr>
          <w:sz w:val="24"/>
          <w:lang w:bidi="ru-RU"/>
        </w:rPr>
        <w:t xml:space="preserve"> </w:t>
      </w:r>
    </w:p>
    <w:p w14:paraId="2F9305E6"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Тип полученного серебра (</w:t>
      </w:r>
      <w:proofErr w:type="gramStart"/>
      <w:r w:rsidRPr="00A02988">
        <w:rPr>
          <w:sz w:val="24"/>
          <w:lang w:bidi="ru-RU"/>
        </w:rPr>
        <w:t>добытое</w:t>
      </w:r>
      <w:proofErr w:type="gramEnd"/>
      <w:r w:rsidRPr="00A02988">
        <w:rPr>
          <w:sz w:val="24"/>
          <w:lang w:bidi="ru-RU"/>
        </w:rPr>
        <w:t xml:space="preserve"> или переработанное);</w:t>
      </w:r>
    </w:p>
    <w:p w14:paraId="36561A87"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Вес и химический анализ (заявленный и обогащенный);</w:t>
      </w:r>
    </w:p>
    <w:p w14:paraId="20447BF2"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Ссылка на файл Комплексной экспертизы в отношении контрагента, поставляющего серебро;</w:t>
      </w:r>
    </w:p>
    <w:p w14:paraId="7E53B0A7"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Дата прибытия на аффинажное предприятие и дата завершения аффинажа.</w:t>
      </w:r>
    </w:p>
    <w:p w14:paraId="63A4B07C"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bookmarkStart w:id="7" w:name="Maintaining_records"/>
      <w:bookmarkEnd w:id="7"/>
      <w:r w:rsidRPr="00A02988">
        <w:rPr>
          <w:spacing w:val="-1"/>
          <w:sz w:val="24"/>
          <w:lang w:bidi="ru-RU"/>
        </w:rPr>
        <w:t>Ведение записей</w:t>
      </w:r>
    </w:p>
    <w:p w14:paraId="436DEDA7"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Аффинажные предприятия должны вести соответствующий учет документации по цепочке поставок, как это требуется в Шаге 2, разделе 2 данного Руководства (Оценка рисков с учетом стандартов собственной системы Комплексной экспертизы </w:t>
      </w:r>
      <w:r w:rsidRPr="00A02988">
        <w:rPr>
          <w:sz w:val="24"/>
          <w:lang w:bidi="ru-RU"/>
        </w:rPr>
        <w:lastRenderedPageBreak/>
        <w:t>цепочки поставок), чтобы продемонстрировать, что Комплексная экспертиза проводится надлежащим образом на постоянной основе. Эти записи должны храниться не меньше пяти лет после окончания финансового года аффинажного предприятия.</w:t>
      </w:r>
    </w:p>
    <w:p w14:paraId="032B84BF" w14:textId="77777777" w:rsidR="004874BD" w:rsidRPr="00A02988" w:rsidRDefault="00777031" w:rsidP="00160F8C">
      <w:pPr>
        <w:pStyle w:val="3"/>
        <w:keepNext/>
        <w:widowControl/>
        <w:tabs>
          <w:tab w:val="left" w:pos="426"/>
        </w:tabs>
        <w:spacing w:before="100" w:beforeAutospacing="1" w:after="100" w:afterAutospacing="1" w:line="320" w:lineRule="exact"/>
        <w:ind w:left="0"/>
        <w:rPr>
          <w:sz w:val="24"/>
        </w:rPr>
      </w:pPr>
      <w:bookmarkStart w:id="8" w:name="Training"/>
      <w:bookmarkEnd w:id="8"/>
      <w:r w:rsidRPr="00A02988">
        <w:rPr>
          <w:sz w:val="24"/>
          <w:lang w:bidi="ru-RU"/>
        </w:rPr>
        <w:t>Обучение</w:t>
      </w:r>
    </w:p>
    <w:p w14:paraId="3700C6AE"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pacing w:val="-1"/>
          <w:sz w:val="24"/>
          <w:lang w:bidi="ru-RU"/>
        </w:rPr>
        <w:t>Аффинажным предприятиям следует разработать программу постоянного обучения по цепочке поставок серебра для всего персонала, задействованного в цепочке поставок серебра.</w:t>
      </w:r>
    </w:p>
    <w:p w14:paraId="3C9D22B6"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bookmarkStart w:id="9" w:name="Compliance_Officer"/>
      <w:bookmarkEnd w:id="9"/>
      <w:r w:rsidRPr="00A02988">
        <w:rPr>
          <w:w w:val="95"/>
          <w:sz w:val="24"/>
          <w:lang w:bidi="ru-RU"/>
        </w:rPr>
        <w:t>Специалист по обеспечению нормативно-правового соответствия</w:t>
      </w:r>
    </w:p>
    <w:p w14:paraId="65991502"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Аффинажные предприятия должны назначить Специалиста по обеспечению нормативно-правового соответствия, который будет подотчетен Высшему руководству.</w:t>
      </w:r>
    </w:p>
    <w:p w14:paraId="5BCEE2D7"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Специалист по обеспечению нормативно-правового соответствия отвечает за все вопросы, касающиеся цепочки поставок серебра. В частности, он просматривает результаты </w:t>
      </w:r>
      <w:proofErr w:type="gramStart"/>
      <w:r w:rsidRPr="00A02988">
        <w:rPr>
          <w:sz w:val="24"/>
          <w:lang w:bidi="ru-RU"/>
        </w:rPr>
        <w:t>проведения Комплексной экспертизы цепочки поставок серебра</w:t>
      </w:r>
      <w:proofErr w:type="gramEnd"/>
      <w:r w:rsidRPr="00A02988">
        <w:rPr>
          <w:sz w:val="24"/>
          <w:lang w:bidi="ru-RU"/>
        </w:rPr>
        <w:t xml:space="preserve"> и оценивает ее адекватность и при необходимости запрашивает дополнительную документацию или информацию. Он обеспечивает принятие соответствующих мер в случае цепочек поставок или сделок с высоким риском. Он также отвечает за обучение сотрудников в отношении ответственной цепочки поставок, за подготовку и обновление политики цепочки поставок серебра, а также за предоставление надлежащей информации Высшему руководству для выполнения ими своих обязанностей.</w:t>
      </w:r>
    </w:p>
    <w:p w14:paraId="1D879BC2"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r w:rsidRPr="00A02988">
        <w:rPr>
          <w:sz w:val="24"/>
          <w:lang w:bidi="ru-RU"/>
        </w:rPr>
        <w:t>Оплата через официальный банковский канал</w:t>
      </w:r>
    </w:p>
    <w:p w14:paraId="209A4E43"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Аффинажные предприятия должны осуществлять и получать платежи за серебро через официальные банковские каналы, при наличии таковых. Все денежные сделки, стороной которой является Аффинажное предприятие, должны быть четко обоснованы, подтверждены проверяемой информацией и одобрены Высшим руководством.</w:t>
      </w:r>
    </w:p>
    <w:p w14:paraId="4BCF1089"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r w:rsidRPr="00A02988">
        <w:rPr>
          <w:sz w:val="24"/>
          <w:lang w:bidi="ru-RU"/>
        </w:rPr>
        <w:t>Сотрудничество с государственными органами</w:t>
      </w:r>
    </w:p>
    <w:p w14:paraId="3D89F0CE"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Аффинажные предприятия должны всецело и открыто сотрудничать с государственными органами и предоставлять им полный доступ к записям и информации в случае такой необходимости.</w:t>
      </w:r>
    </w:p>
    <w:p w14:paraId="2BE7C846" w14:textId="77777777" w:rsidR="004874BD" w:rsidRPr="00A02988" w:rsidRDefault="00777031" w:rsidP="00173500">
      <w:pPr>
        <w:pStyle w:val="2"/>
        <w:keepNext/>
        <w:widowControl/>
        <w:numPr>
          <w:ilvl w:val="0"/>
          <w:numId w:val="4"/>
        </w:numPr>
        <w:tabs>
          <w:tab w:val="left" w:pos="426"/>
          <w:tab w:val="left" w:pos="580"/>
        </w:tabs>
        <w:spacing w:before="100" w:beforeAutospacing="1" w:after="100" w:afterAutospacing="1" w:line="320" w:lineRule="exact"/>
        <w:ind w:left="0" w:firstLine="0"/>
        <w:rPr>
          <w:sz w:val="24"/>
        </w:rPr>
      </w:pPr>
      <w:bookmarkStart w:id="10" w:name="4._Strengthen_company_engagement_with_si"/>
      <w:bookmarkEnd w:id="10"/>
      <w:r w:rsidRPr="00A02988">
        <w:rPr>
          <w:sz w:val="24"/>
          <w:lang w:bidi="ru-RU"/>
        </w:rPr>
        <w:lastRenderedPageBreak/>
        <w:t>Большее участие компании в деятельности Контрагентов, поставляющих серебро, и, по возможности, оказание им содействия в наращивании потенциала для проведения Комплексной экспертизы</w:t>
      </w:r>
    </w:p>
    <w:p w14:paraId="394809EE"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Аффинажным предприятиям рекомендуется строить долгосрочные отношения со своими поставщиками, основанные на доверии и взаимном признании.</w:t>
      </w:r>
    </w:p>
    <w:p w14:paraId="0B8D82CA"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proofErr w:type="gramStart"/>
      <w:r w:rsidRPr="00A02988">
        <w:rPr>
          <w:sz w:val="24"/>
          <w:lang w:bidi="ru-RU"/>
        </w:rPr>
        <w:t>Аффинажные предприятия должны постараться убедить Контрагентов, поставляющих серебро, взять на себя обязательство по соблюдению политики в отношении цепочки поставок, которая соответствует Типовой политике, приведенной в Приложении II к Руководящим принципам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и письменно подтвердить такое соблюдение, по каждому взаимодействию с Аффинажными</w:t>
      </w:r>
      <w:proofErr w:type="gramEnd"/>
      <w:r w:rsidRPr="00A02988">
        <w:rPr>
          <w:sz w:val="24"/>
          <w:lang w:bidi="ru-RU"/>
        </w:rPr>
        <w:t xml:space="preserve"> предприятиями.</w:t>
      </w:r>
    </w:p>
    <w:p w14:paraId="65AE9C92"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При необходимости, Аффинажные предприятия должны определить процесс для продвижения практики ответственного выбора поставщиков по всей цепочке поставок, а также оказать поддержку существующим или потенциальным контрагентам, поставляющим серебро, при совершенствовании ими своих методов организации ответственной цепочки поставок. Например, Аффинажные предприятия могут сообщать о своих ожиданиях, предоставлять рекомендации или делиться собственными методами и приемами при посещении объектов контрагентов, чтобы помочь последним усовершенствовать свои практики.</w:t>
      </w:r>
    </w:p>
    <w:p w14:paraId="46A8DDFD"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Аффинажные предприятия должны способствовать реализации соответствующих инициатив, таких как Инициатива прозрачности в добывающих отраслях (ИПДО).</w:t>
      </w:r>
    </w:p>
    <w:p w14:paraId="66382F01" w14:textId="77777777" w:rsidR="004874BD" w:rsidRPr="00A02988" w:rsidRDefault="00777031" w:rsidP="00160F8C">
      <w:pPr>
        <w:pStyle w:val="2"/>
        <w:widowControl/>
        <w:numPr>
          <w:ilvl w:val="0"/>
          <w:numId w:val="4"/>
        </w:numPr>
        <w:tabs>
          <w:tab w:val="left" w:pos="426"/>
          <w:tab w:val="left" w:pos="580"/>
        </w:tabs>
        <w:spacing w:before="100" w:beforeAutospacing="1" w:after="100" w:afterAutospacing="1" w:line="320" w:lineRule="exact"/>
        <w:ind w:left="0" w:firstLine="0"/>
        <w:rPr>
          <w:sz w:val="24"/>
        </w:rPr>
      </w:pPr>
      <w:bookmarkStart w:id="11" w:name="5._Establish_a_confidential_grievance_me"/>
      <w:bookmarkEnd w:id="11"/>
      <w:r w:rsidRPr="00A02988">
        <w:rPr>
          <w:w w:val="95"/>
          <w:sz w:val="24"/>
          <w:lang w:bidi="ru-RU"/>
        </w:rPr>
        <w:t>Создание механизма конфиденциальной подачи и рассмотрения жалоб</w:t>
      </w:r>
    </w:p>
    <w:p w14:paraId="2BA8D789"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Аффинажным предприятиям следует разработать механизм, позволяющий любому сотруднику или заинтересованному лицу вне организации анонимно высказывать опасения по поводу цепочки поставок серебра или новых рисков.</w:t>
      </w:r>
    </w:p>
    <w:p w14:paraId="07617C8A" w14:textId="77777777" w:rsidR="004874BD" w:rsidRPr="00A02988" w:rsidRDefault="004874BD" w:rsidP="00160F8C">
      <w:pPr>
        <w:widowControl/>
        <w:tabs>
          <w:tab w:val="left" w:pos="426"/>
        </w:tabs>
        <w:spacing w:before="100" w:beforeAutospacing="1" w:after="100" w:afterAutospacing="1" w:line="320" w:lineRule="exact"/>
        <w:jc w:val="both"/>
        <w:rPr>
          <w:sz w:val="24"/>
        </w:rPr>
        <w:sectPr w:rsidR="004874BD" w:rsidRPr="00A02988" w:rsidSect="00173500">
          <w:pgSz w:w="11907" w:h="16840" w:code="9"/>
          <w:pgMar w:top="1134" w:right="1134" w:bottom="1134" w:left="1134" w:header="0" w:footer="463" w:gutter="0"/>
          <w:cols w:space="720"/>
        </w:sectPr>
      </w:pPr>
    </w:p>
    <w:p w14:paraId="25B63A72" w14:textId="72DBC39C" w:rsidR="004874BD" w:rsidRPr="00A02988" w:rsidRDefault="00777031" w:rsidP="00A02988">
      <w:pPr>
        <w:pStyle w:val="2"/>
        <w:spacing w:before="100" w:beforeAutospacing="1" w:after="100" w:afterAutospacing="1" w:line="320" w:lineRule="exact"/>
        <w:ind w:left="0" w:firstLine="0"/>
        <w:rPr>
          <w:sz w:val="32"/>
        </w:rPr>
      </w:pPr>
      <w:bookmarkStart w:id="12" w:name="STEP_2_-_Identify_and_assess_risk_in_the"/>
      <w:bookmarkEnd w:id="12"/>
      <w:r w:rsidRPr="00A02988">
        <w:rPr>
          <w:sz w:val="32"/>
        </w:rPr>
        <w:lastRenderedPageBreak/>
        <w:t xml:space="preserve">ШАГ 2 </w:t>
      </w:r>
      <w:r w:rsidR="005C5121" w:rsidRPr="00A02988">
        <w:rPr>
          <w:sz w:val="32"/>
        </w:rPr>
        <w:t xml:space="preserve">– </w:t>
      </w:r>
      <w:r w:rsidRPr="00A02988">
        <w:rPr>
          <w:sz w:val="32"/>
        </w:rPr>
        <w:t>Выявление и оценка риска в цепочке поставок</w:t>
      </w:r>
      <w:r w:rsidRPr="00A02988">
        <w:rPr>
          <w:sz w:val="32"/>
        </w:rPr>
        <w:tab/>
      </w:r>
    </w:p>
    <w:p w14:paraId="4FC09E85" w14:textId="77777777" w:rsidR="004874BD" w:rsidRPr="00A02988" w:rsidRDefault="00777031" w:rsidP="00160F8C">
      <w:pPr>
        <w:pStyle w:val="2"/>
        <w:widowControl/>
        <w:numPr>
          <w:ilvl w:val="0"/>
          <w:numId w:val="2"/>
        </w:numPr>
        <w:tabs>
          <w:tab w:val="left" w:pos="426"/>
          <w:tab w:val="left" w:pos="580"/>
        </w:tabs>
        <w:spacing w:before="100" w:beforeAutospacing="1" w:after="100" w:afterAutospacing="1" w:line="320" w:lineRule="exact"/>
        <w:ind w:left="0" w:firstLine="0"/>
        <w:jc w:val="both"/>
        <w:rPr>
          <w:sz w:val="24"/>
        </w:rPr>
      </w:pPr>
      <w:bookmarkStart w:id="13" w:name="1._Identify_risks_in_the_silver_supply_c"/>
      <w:bookmarkEnd w:id="13"/>
      <w:r w:rsidRPr="00A02988">
        <w:rPr>
          <w:sz w:val="24"/>
          <w:lang w:bidi="ru-RU"/>
        </w:rPr>
        <w:t>Выявление рисков в цепочке поставок серебра</w:t>
      </w:r>
    </w:p>
    <w:p w14:paraId="0953DD49"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proofErr w:type="gramStart"/>
      <w:r w:rsidRPr="00A02988">
        <w:rPr>
          <w:sz w:val="24"/>
          <w:lang w:bidi="ru-RU"/>
        </w:rPr>
        <w:t>В соответствии с Приложением II к Руководящим принципам ОЭСР по проведению комплексной экспертизы ответственных цепочек поставок минерального сырья из зон, пострадавших в результате конфликтов, и зон высокого риска, Аффинажные предприятия должны установить наличие следующих рисков (как для Добытого, так и для Переработанного серебра), связанных с цепочкой поставок от места происхождения до Аффинажного предприятия:</w:t>
      </w:r>
      <w:proofErr w:type="gramEnd"/>
    </w:p>
    <w:p w14:paraId="128D0060" w14:textId="77777777"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z w:val="24"/>
          <w:lang w:bidi="ru-RU"/>
        </w:rPr>
        <w:t>Систематические или широко распространенные нарушения прав человека, связанные с добычей, транспортировкой или торговлей серебром, включая наихудшие формы детского труда, какие-либо формы пыток, бесчеловечное и унижающее достоинство обращение, широко распространенное сексуальное насилие или другие грубые нарушения прав человека, принудительный или обязательный труд, военные преступления, преступления против человечества или геноцид;</w:t>
      </w:r>
    </w:p>
    <w:p w14:paraId="465421E4" w14:textId="44DE78A8"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z w:val="24"/>
          <w:lang w:bidi="ru-RU"/>
        </w:rPr>
        <w:t>Непосредственная или косвенная поддержка незаконных негосударственных вооруженных формирований государственных или частных силовых служб, которые незаконно контролируют участки добычи, торговцев, других посредников, транспортные маршруты через цепочки поставок или незаконно облагают налогом или вымогают деньги или полезные ископаемые через цепочки поставок («незаконные негосударственные вооруженные формирования, государственные или частные силовые службы»)</w:t>
      </w:r>
      <w:r w:rsidR="00AD1070" w:rsidRPr="00A02988">
        <w:rPr>
          <w:rStyle w:val="ac"/>
          <w:sz w:val="24"/>
          <w:lang w:bidi="ru-RU"/>
        </w:rPr>
        <w:footnoteReference w:id="2"/>
      </w:r>
      <w:r w:rsidRPr="00A02988">
        <w:rPr>
          <w:sz w:val="24"/>
          <w:lang w:bidi="ru-RU"/>
        </w:rPr>
        <w:t>;</w:t>
      </w:r>
    </w:p>
    <w:p w14:paraId="24A4F874" w14:textId="77777777"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pacing w:val="-1"/>
          <w:sz w:val="24"/>
          <w:lang w:bidi="ru-RU"/>
        </w:rPr>
        <w:t>Взяточничество и намеренное введение в заблуждение относительно происхождения серебра;</w:t>
      </w:r>
    </w:p>
    <w:p w14:paraId="67DC3EB3"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Неуплата налогов, сборов и роялти, причитающихся правительствам в связи с добычей, торговлей и экспортом полезных ископаемых из зон, пострадавших в результате конфликтов, и зон высокого риска;</w:t>
      </w:r>
    </w:p>
    <w:p w14:paraId="075E3A96"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Отмывание денег или финансирование терроризма;</w:t>
      </w:r>
    </w:p>
    <w:p w14:paraId="44FA5300"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Разжигание конфликтов.</w:t>
      </w:r>
    </w:p>
    <w:p w14:paraId="3B6FEED2" w14:textId="77777777" w:rsidR="004874BD" w:rsidRPr="00A02988" w:rsidRDefault="00777031" w:rsidP="00160F8C">
      <w:pPr>
        <w:pStyle w:val="2"/>
        <w:widowControl/>
        <w:numPr>
          <w:ilvl w:val="0"/>
          <w:numId w:val="2"/>
        </w:numPr>
        <w:tabs>
          <w:tab w:val="left" w:pos="426"/>
          <w:tab w:val="left" w:pos="580"/>
        </w:tabs>
        <w:spacing w:before="100" w:beforeAutospacing="1" w:after="100" w:afterAutospacing="1" w:line="320" w:lineRule="exact"/>
        <w:ind w:left="0" w:firstLine="0"/>
        <w:rPr>
          <w:sz w:val="24"/>
        </w:rPr>
      </w:pPr>
      <w:bookmarkStart w:id="14" w:name="2._Assess_risks_in_light_of_the_standard"/>
      <w:bookmarkEnd w:id="14"/>
      <w:r w:rsidRPr="00A02988">
        <w:rPr>
          <w:sz w:val="24"/>
          <w:lang w:bidi="ru-RU"/>
        </w:rPr>
        <w:t xml:space="preserve">Оценка рисков с учетом </w:t>
      </w:r>
      <w:proofErr w:type="gramStart"/>
      <w:r w:rsidRPr="00A02988">
        <w:rPr>
          <w:sz w:val="24"/>
          <w:lang w:bidi="ru-RU"/>
        </w:rPr>
        <w:t>стандартов собственной системы Комплексной экспертизы цепочки поставок</w:t>
      </w:r>
      <w:proofErr w:type="gramEnd"/>
    </w:p>
    <w:p w14:paraId="6EF4FFE4" w14:textId="77777777" w:rsidR="004874BD" w:rsidRPr="00A02988" w:rsidRDefault="00777031" w:rsidP="00160F8C">
      <w:pPr>
        <w:pStyle w:val="3"/>
        <w:widowControl/>
        <w:tabs>
          <w:tab w:val="left" w:pos="426"/>
        </w:tabs>
        <w:spacing w:before="100" w:beforeAutospacing="1" w:after="100" w:afterAutospacing="1" w:line="320" w:lineRule="exact"/>
        <w:ind w:left="0"/>
        <w:jc w:val="both"/>
        <w:rPr>
          <w:sz w:val="24"/>
        </w:rPr>
      </w:pPr>
      <w:bookmarkStart w:id="15" w:name="Supply_chain_due_diligence"/>
      <w:bookmarkEnd w:id="15"/>
      <w:r w:rsidRPr="00A02988">
        <w:rPr>
          <w:sz w:val="24"/>
          <w:lang w:bidi="ru-RU"/>
        </w:rPr>
        <w:t>Комплексная экспертиза цепочки поставок</w:t>
      </w:r>
    </w:p>
    <w:p w14:paraId="36AB6EB3"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Чтобы составить карту цепочки поставок и эффективно оценить риски, все Аффинажные предприятия должны проводить Комплексную экспертизу цепочки поставок с учетом рисков, причем перед вступлением в деловые отношения со всеми Контрагентами, поставляющими серебро. Оценка рисков в цепочке поставок начинается с происхождения серебра (включая Переработанное серебро).</w:t>
      </w:r>
    </w:p>
    <w:p w14:paraId="66CA400A"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pacing w:val="-1"/>
          <w:sz w:val="24"/>
          <w:lang w:bidi="ru-RU"/>
        </w:rPr>
        <w:lastRenderedPageBreak/>
        <w:t>Комплексная экспертиза цепочки поставок должна включать следующие действия в качестве обязательного минимума:</w:t>
      </w:r>
    </w:p>
    <w:p w14:paraId="5A323F1D"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Идентификация Контрагента, поставляющего серебро, и проверка его личности с помощью надежных, независимых оригиналов документов, данных или информации;</w:t>
      </w:r>
    </w:p>
    <w:p w14:paraId="54AC28DB"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pacing w:val="-3"/>
          <w:sz w:val="24"/>
          <w:lang w:bidi="ru-RU"/>
        </w:rPr>
        <w:t>Идентификация Бенефициарных владельцев Контрагента, поставляющего серебро;</w:t>
      </w:r>
    </w:p>
    <w:p w14:paraId="6BA833EB"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Проверка наличия Контрагента, поставляющего серебро, и его бенефициарных владельцев в государственных списках разыскиваемых лиц, отмывающих деньги, известных мошенников или террористов;</w:t>
      </w:r>
    </w:p>
    <w:p w14:paraId="2EDCC0D3"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Получение деловой и финансовой информации в отношении Контрагента, поставляющего серебро, а также информации о целях и предполагаемом характере деловых отношений;</w:t>
      </w:r>
    </w:p>
    <w:p w14:paraId="65DE1B44"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Для Добытого серебра из крупных/средних рудников, а также из рудников цветных металлов:</w:t>
      </w:r>
    </w:p>
    <w:p w14:paraId="14C8FDE3" w14:textId="77777777" w:rsidR="004874BD" w:rsidRPr="00A02988" w:rsidRDefault="00777031" w:rsidP="00160F8C">
      <w:pPr>
        <w:pStyle w:val="a5"/>
        <w:widowControl/>
        <w:numPr>
          <w:ilvl w:val="1"/>
          <w:numId w:val="3"/>
        </w:numPr>
        <w:tabs>
          <w:tab w:val="left" w:pos="426"/>
          <w:tab w:val="left" w:pos="840"/>
        </w:tabs>
        <w:spacing w:after="120"/>
        <w:ind w:left="845" w:hanging="278"/>
        <w:rPr>
          <w:sz w:val="24"/>
        </w:rPr>
      </w:pPr>
      <w:r w:rsidRPr="00A02988">
        <w:rPr>
          <w:sz w:val="24"/>
          <w:lang w:bidi="ru-RU"/>
        </w:rPr>
        <w:t>Определение происхождения серебра при разумных и добросовестных усилиях;</w:t>
      </w:r>
    </w:p>
    <w:p w14:paraId="7DC09C71" w14:textId="3EB66364" w:rsidR="004874BD" w:rsidRPr="00A02988" w:rsidRDefault="00746CA7" w:rsidP="00160F8C">
      <w:pPr>
        <w:pStyle w:val="a5"/>
        <w:widowControl/>
        <w:numPr>
          <w:ilvl w:val="1"/>
          <w:numId w:val="3"/>
        </w:numPr>
        <w:tabs>
          <w:tab w:val="left" w:pos="426"/>
          <w:tab w:val="left" w:pos="828"/>
        </w:tabs>
        <w:spacing w:after="120"/>
        <w:ind w:left="845" w:hanging="278"/>
        <w:rPr>
          <w:sz w:val="24"/>
        </w:rPr>
      </w:pPr>
      <w:r w:rsidRPr="00A02988">
        <w:rPr>
          <w:sz w:val="24"/>
          <w:lang w:bidi="ru-RU"/>
        </w:rPr>
        <w:t>Получение лицензии на добычу полезных ископаемых, расположенных в зонах высокого риска, пострадавших в результате конфликтов или нарушений прав человека, если применимо;</w:t>
      </w:r>
    </w:p>
    <w:p w14:paraId="154E287F" w14:textId="77777777" w:rsidR="004874BD" w:rsidRPr="00A02988" w:rsidRDefault="00777031" w:rsidP="00160F8C">
      <w:pPr>
        <w:pStyle w:val="a5"/>
        <w:widowControl/>
        <w:numPr>
          <w:ilvl w:val="1"/>
          <w:numId w:val="3"/>
        </w:numPr>
        <w:tabs>
          <w:tab w:val="left" w:pos="426"/>
          <w:tab w:val="left" w:pos="828"/>
        </w:tabs>
        <w:spacing w:after="120"/>
        <w:ind w:left="845" w:hanging="278"/>
        <w:rPr>
          <w:sz w:val="24"/>
        </w:rPr>
      </w:pPr>
      <w:r w:rsidRPr="00A02988">
        <w:rPr>
          <w:sz w:val="24"/>
          <w:lang w:bidi="ru-RU"/>
        </w:rPr>
        <w:t>Получение лицензии на импорт/экспорт серебра для контрагента-поставщика серебра, расположенного в зонах высокого риска, пострадавших в результате конфликтов или нарушений прав человека, если применимо;</w:t>
      </w:r>
    </w:p>
    <w:p w14:paraId="727448A1" w14:textId="77777777" w:rsidR="004874BD" w:rsidRPr="00A02988" w:rsidRDefault="00777031" w:rsidP="00160F8C">
      <w:pPr>
        <w:pStyle w:val="a5"/>
        <w:widowControl/>
        <w:numPr>
          <w:ilvl w:val="1"/>
          <w:numId w:val="3"/>
        </w:numPr>
        <w:tabs>
          <w:tab w:val="left" w:pos="426"/>
          <w:tab w:val="left" w:pos="840"/>
        </w:tabs>
        <w:spacing w:after="120"/>
        <w:ind w:left="845" w:hanging="278"/>
        <w:rPr>
          <w:sz w:val="24"/>
        </w:rPr>
      </w:pPr>
      <w:r w:rsidRPr="00A02988">
        <w:rPr>
          <w:sz w:val="24"/>
          <w:lang w:bidi="ru-RU"/>
        </w:rPr>
        <w:t>Сбор и оценка информации о практике добычи металлов;</w:t>
      </w:r>
    </w:p>
    <w:p w14:paraId="7213470A" w14:textId="77777777" w:rsidR="004874BD" w:rsidRPr="00A02988" w:rsidRDefault="00777031" w:rsidP="00160F8C">
      <w:pPr>
        <w:pStyle w:val="a5"/>
        <w:widowControl/>
        <w:numPr>
          <w:ilvl w:val="1"/>
          <w:numId w:val="3"/>
        </w:numPr>
        <w:tabs>
          <w:tab w:val="left" w:pos="426"/>
          <w:tab w:val="left" w:pos="840"/>
        </w:tabs>
        <w:spacing w:after="120"/>
        <w:ind w:left="845" w:hanging="278"/>
        <w:rPr>
          <w:sz w:val="24"/>
        </w:rPr>
      </w:pPr>
      <w:r w:rsidRPr="00A02988">
        <w:rPr>
          <w:sz w:val="24"/>
          <w:lang w:bidi="ru-RU"/>
        </w:rPr>
        <w:t>Получение данных о добывающих мощностях, при наличии таковых.</w:t>
      </w:r>
    </w:p>
    <w:p w14:paraId="689942E4"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proofErr w:type="gramStart"/>
      <w:r w:rsidRPr="00A02988">
        <w:rPr>
          <w:spacing w:val="-1"/>
          <w:sz w:val="24"/>
          <w:lang w:bidi="ru-RU"/>
        </w:rPr>
        <w:t>Для Переработанного серебра - сбор и оценка информации о применяемых контрагентом-поставщиком Переработанного серебра политике и практике Противодействия отмыванию денег (AML) - Борьбы с финансированием терроризма (CFT), если применимо;</w:t>
      </w:r>
      <w:proofErr w:type="gramEnd"/>
    </w:p>
    <w:p w14:paraId="7CF5545B"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pacing w:val="-1"/>
          <w:sz w:val="24"/>
          <w:lang w:bidi="ru-RU"/>
        </w:rPr>
        <w:t>Проведение постоянной комплексной экспертизы цепочки поставок серебра</w:t>
      </w:r>
      <w:r w:rsidRPr="00A02988">
        <w:rPr>
          <w:w w:val="95"/>
          <w:sz w:val="24"/>
          <w:lang w:bidi="ru-RU"/>
        </w:rPr>
        <w:t>.</w:t>
      </w:r>
    </w:p>
    <w:p w14:paraId="4D09A493"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В рамках Комплексной экспертизы цепочки поставок Аффинажные предприятия должны применить все приведенные выше меры, но при этом они могут определить масштабы таких мер с учетом чувствительности к риску в зависимости от типа компании, деловых отношений, типа сделки, местонахождения компании или транзитной зоны. Для категорий высокого риска следует проводить расширенную Комплексную экспертизу, для чего необходимо предпринять следующие дополнительные шаги:</w:t>
      </w:r>
    </w:p>
    <w:p w14:paraId="18DC5392" w14:textId="6244CCDA" w:rsidR="004874BD" w:rsidRPr="00A02988" w:rsidRDefault="00777031" w:rsidP="00057DAC">
      <w:pPr>
        <w:pStyle w:val="a5"/>
        <w:widowControl/>
        <w:numPr>
          <w:ilvl w:val="0"/>
          <w:numId w:val="3"/>
        </w:numPr>
        <w:tabs>
          <w:tab w:val="left" w:pos="426"/>
          <w:tab w:val="left" w:pos="547"/>
        </w:tabs>
        <w:spacing w:after="120"/>
        <w:ind w:left="0" w:firstLine="0"/>
        <w:jc w:val="both"/>
        <w:rPr>
          <w:sz w:val="24"/>
        </w:rPr>
      </w:pPr>
      <w:proofErr w:type="gramStart"/>
      <w:r w:rsidRPr="00A02988">
        <w:rPr>
          <w:sz w:val="24"/>
          <w:lang w:bidi="ru-RU"/>
        </w:rPr>
        <w:t>Исследование на месте/посещение</w:t>
      </w:r>
      <w:r w:rsidR="00E35C37" w:rsidRPr="00A02988">
        <w:rPr>
          <w:sz w:val="24"/>
          <w:lang w:bidi="ru-RU"/>
        </w:rPr>
        <w:t xml:space="preserve"> </w:t>
      </w:r>
      <w:r w:rsidRPr="00A02988">
        <w:rPr>
          <w:sz w:val="24"/>
          <w:lang w:bidi="ru-RU"/>
        </w:rPr>
        <w:t>(участки добычи для Добытого серебра и офис контрагента-поставщика серебра для Переработанного серебра) для поставок с высоким риском, направленное на обоснование документальных выводов комплексной экспертизы цепочки поставок, которое должно быть проведено в течение первого года деловых отношений;</w:t>
      </w:r>
      <w:proofErr w:type="gramEnd"/>
    </w:p>
    <w:p w14:paraId="577ED178" w14:textId="5FB7DABA" w:rsidR="004874BD" w:rsidRPr="00A02988" w:rsidRDefault="00777031" w:rsidP="00057DAC">
      <w:pPr>
        <w:pStyle w:val="a5"/>
        <w:widowControl/>
        <w:numPr>
          <w:ilvl w:val="0"/>
          <w:numId w:val="3"/>
        </w:numPr>
        <w:tabs>
          <w:tab w:val="left" w:pos="426"/>
          <w:tab w:val="left" w:pos="580"/>
        </w:tabs>
        <w:spacing w:after="120"/>
        <w:ind w:left="0" w:firstLine="0"/>
        <w:jc w:val="both"/>
        <w:rPr>
          <w:sz w:val="24"/>
        </w:rPr>
      </w:pPr>
      <w:r w:rsidRPr="00A02988">
        <w:rPr>
          <w:sz w:val="24"/>
          <w:lang w:bidi="ru-RU"/>
        </w:rPr>
        <w:t xml:space="preserve">Для серебра из крупных/средних рудников, а также из рудников цветных металлов: </w:t>
      </w:r>
      <w:proofErr w:type="gramStart"/>
      <w:r w:rsidRPr="00A02988">
        <w:rPr>
          <w:sz w:val="24"/>
          <w:lang w:bidi="ru-RU"/>
        </w:rPr>
        <w:t xml:space="preserve">Проверка личности с использованием надежных, независимых исходных </w:t>
      </w:r>
      <w:r w:rsidRPr="00A02988">
        <w:rPr>
          <w:sz w:val="24"/>
          <w:lang w:bidi="ru-RU"/>
        </w:rPr>
        <w:lastRenderedPageBreak/>
        <w:t xml:space="preserve">документов, данных или информации, а также проверка информации из правительственных </w:t>
      </w:r>
      <w:r w:rsidR="00341F54" w:rsidRPr="00A02988">
        <w:rPr>
          <w:sz w:val="24"/>
          <w:lang w:bidi="ru-RU"/>
        </w:rPr>
        <w:t>розыскных списков</w:t>
      </w:r>
      <w:r w:rsidRPr="00A02988">
        <w:rPr>
          <w:sz w:val="24"/>
          <w:lang w:bidi="ru-RU"/>
        </w:rPr>
        <w:t xml:space="preserve"> должна проводиться для каждой</w:t>
      </w:r>
      <w:r w:rsidR="00E35C37" w:rsidRPr="00A02988">
        <w:rPr>
          <w:sz w:val="24"/>
          <w:lang w:bidi="ru-RU"/>
        </w:rPr>
        <w:t xml:space="preserve"> </w:t>
      </w:r>
      <w:r w:rsidRPr="00A02988">
        <w:rPr>
          <w:sz w:val="24"/>
          <w:lang w:bidi="ru-RU"/>
        </w:rPr>
        <w:t>вовлеченной в цепочку компании, расположенной в зонах, затронутых конфликтами или подверженных риску нарушения прав человека, от рудника до аффинажного предприятия (включая производителей серебра, посредников, трейдеров и экспортеров серебра, а также перевозчиков);</w:t>
      </w:r>
      <w:proofErr w:type="gramEnd"/>
    </w:p>
    <w:p w14:paraId="3736C2BC" w14:textId="2B4F07BC"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 xml:space="preserve">Для Переработанного серебра: Проверка личности с использованием надежных, независимых исходных документов, данных или информации, а также проверка информации из правительственных </w:t>
      </w:r>
      <w:r w:rsidR="00341F54" w:rsidRPr="00A02988">
        <w:rPr>
          <w:sz w:val="24"/>
          <w:lang w:bidi="ru-RU"/>
        </w:rPr>
        <w:t>розыскных списков</w:t>
      </w:r>
      <w:r w:rsidRPr="00A02988">
        <w:rPr>
          <w:sz w:val="24"/>
          <w:lang w:bidi="ru-RU"/>
        </w:rPr>
        <w:t xml:space="preserve"> должна проводиться для каждой</w:t>
      </w:r>
      <w:r w:rsidR="00E35C37" w:rsidRPr="00A02988">
        <w:rPr>
          <w:sz w:val="24"/>
          <w:lang w:bidi="ru-RU"/>
        </w:rPr>
        <w:t xml:space="preserve"> </w:t>
      </w:r>
      <w:r w:rsidRPr="00A02988">
        <w:rPr>
          <w:sz w:val="24"/>
          <w:lang w:bidi="ru-RU"/>
        </w:rPr>
        <w:t xml:space="preserve">вовлеченной в цепочку компании, расположенной в зонах, затронутых конфликтами или подверженных риску нарушения прав человека, от контрагента-поставщика серебра до аффинажного предприятия (включая перевозчиков). </w:t>
      </w:r>
    </w:p>
    <w:p w14:paraId="1249D098" w14:textId="77777777" w:rsidR="004874BD" w:rsidRPr="00A02988" w:rsidRDefault="00777031" w:rsidP="00160F8C">
      <w:pPr>
        <w:pStyle w:val="3"/>
        <w:widowControl/>
        <w:tabs>
          <w:tab w:val="left" w:pos="426"/>
        </w:tabs>
        <w:spacing w:before="100" w:beforeAutospacing="1" w:after="100" w:afterAutospacing="1" w:line="320" w:lineRule="exact"/>
        <w:ind w:left="0"/>
        <w:jc w:val="both"/>
        <w:rPr>
          <w:sz w:val="24"/>
        </w:rPr>
      </w:pPr>
      <w:bookmarkStart w:id="16" w:name="High_Risk_Supply_Chains"/>
      <w:bookmarkEnd w:id="16"/>
      <w:r w:rsidRPr="00A02988">
        <w:rPr>
          <w:sz w:val="24"/>
          <w:lang w:bidi="ru-RU"/>
        </w:rPr>
        <w:t>Цепочки поставок с высоким уровнем риска</w:t>
      </w:r>
    </w:p>
    <w:p w14:paraId="442711CC"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Аффинажные предприятия должны установить собственные критерии для определения цепочек поставок с высоким риском. При этом</w:t>
      </w:r>
      <w:proofErr w:type="gramStart"/>
      <w:r w:rsidRPr="00A02988">
        <w:rPr>
          <w:sz w:val="24"/>
          <w:lang w:bidi="ru-RU"/>
        </w:rPr>
        <w:t>,</w:t>
      </w:r>
      <w:proofErr w:type="gramEnd"/>
      <w:r w:rsidRPr="00A02988">
        <w:rPr>
          <w:sz w:val="24"/>
          <w:lang w:bidi="ru-RU"/>
        </w:rPr>
        <w:t xml:space="preserve"> минимальные критерии ниже должны рассматриваться как критерии высокого риска и вызывать необходимость проведения расширенной Комплексной экспертизы:</w:t>
      </w:r>
    </w:p>
    <w:p w14:paraId="722435B3"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 xml:space="preserve">Добытое серебро или Переработанное серебро поступило </w:t>
      </w:r>
      <w:proofErr w:type="gramStart"/>
      <w:r w:rsidRPr="00A02988">
        <w:rPr>
          <w:sz w:val="24"/>
          <w:lang w:bidi="ru-RU"/>
        </w:rPr>
        <w:t>из</w:t>
      </w:r>
      <w:proofErr w:type="gramEnd"/>
      <w:r w:rsidRPr="00A02988">
        <w:rPr>
          <w:sz w:val="24"/>
          <w:lang w:bidi="ru-RU"/>
        </w:rPr>
        <w:t xml:space="preserve">, прошло </w:t>
      </w:r>
      <w:proofErr w:type="gramStart"/>
      <w:r w:rsidRPr="00A02988">
        <w:rPr>
          <w:sz w:val="24"/>
          <w:lang w:bidi="ru-RU"/>
        </w:rPr>
        <w:t>транзитом</w:t>
      </w:r>
      <w:proofErr w:type="gramEnd"/>
      <w:r w:rsidRPr="00A02988">
        <w:rPr>
          <w:sz w:val="24"/>
          <w:lang w:bidi="ru-RU"/>
        </w:rPr>
        <w:t xml:space="preserve"> или транспортировалось через зону высокого риска, пострадавшую в результате конфликтов или нарушений прав человека.</w:t>
      </w:r>
    </w:p>
    <w:p w14:paraId="722D1533"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Утверждается, что Добытое серебро поступило из страны, которая имеет ограниченные известные запасы, вероятные ресурсы или ожидаемые уровни производства серебра;</w:t>
      </w:r>
    </w:p>
    <w:p w14:paraId="46934B6D"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Переработанное серебро поступило из страны, через которую, как известно, или как есть основания подозревать, оно прошло транзитом из зоны высокого риска, пострадавшей в результате конфликтов или нарушений прав человека;</w:t>
      </w:r>
    </w:p>
    <w:p w14:paraId="1BC15EDB"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Контрагент, поставляющий серебро, или иные известные добывающие компании находятся в стране, представляющей высокий риск отмывания денег;</w:t>
      </w:r>
    </w:p>
    <w:p w14:paraId="6460AB42"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 xml:space="preserve">Контрагент, поставляющий серебро, или иные известные добывающие компании или их </w:t>
      </w:r>
      <w:proofErr w:type="spellStart"/>
      <w:r w:rsidRPr="00A02988">
        <w:rPr>
          <w:sz w:val="24"/>
          <w:lang w:bidi="ru-RU"/>
        </w:rPr>
        <w:t>Бенефициарные</w:t>
      </w:r>
      <w:proofErr w:type="spellEnd"/>
      <w:r w:rsidRPr="00A02988">
        <w:rPr>
          <w:sz w:val="24"/>
          <w:lang w:bidi="ru-RU"/>
        </w:rPr>
        <w:t xml:space="preserve"> владельцы, имеющие значительное влияние на Контрагента, поставляющего серебро, являются ПЗЛ;</w:t>
      </w:r>
    </w:p>
    <w:p w14:paraId="6B96E98D" w14:textId="743039AA"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 xml:space="preserve">Контрагент, поставляющий серебро, или иные известные добывающие компании активно занимаются деятельностью, связанной с высоким риском, </w:t>
      </w:r>
      <w:r w:rsidR="00081DBC" w:rsidRPr="00A02988">
        <w:rPr>
          <w:sz w:val="24"/>
          <w:lang w:bidi="ru-RU"/>
        </w:rPr>
        <w:t>такой, как</w:t>
      </w:r>
      <w:r w:rsidRPr="00A02988">
        <w:rPr>
          <w:sz w:val="24"/>
          <w:lang w:bidi="ru-RU"/>
        </w:rPr>
        <w:t xml:space="preserve"> </w:t>
      </w:r>
      <w:r w:rsidR="00666A74" w:rsidRPr="00A02988">
        <w:rPr>
          <w:sz w:val="24"/>
          <w:lang w:bidi="ru-RU"/>
        </w:rPr>
        <w:t>торговля оружием</w:t>
      </w:r>
      <w:r w:rsidRPr="00A02988">
        <w:rPr>
          <w:sz w:val="24"/>
          <w:lang w:bidi="ru-RU"/>
        </w:rPr>
        <w:t xml:space="preserve">, игорный бизнес, </w:t>
      </w:r>
      <w:r w:rsidR="00E836C6" w:rsidRPr="00A02988">
        <w:rPr>
          <w:sz w:val="24"/>
          <w:lang w:bidi="ru-RU"/>
        </w:rPr>
        <w:t xml:space="preserve">торговля </w:t>
      </w:r>
      <w:r w:rsidRPr="00A02988">
        <w:rPr>
          <w:sz w:val="24"/>
          <w:lang w:bidi="ru-RU"/>
        </w:rPr>
        <w:t>антиквариат</w:t>
      </w:r>
      <w:r w:rsidR="00E836C6" w:rsidRPr="00A02988">
        <w:rPr>
          <w:sz w:val="24"/>
          <w:lang w:bidi="ru-RU"/>
        </w:rPr>
        <w:t>ом</w:t>
      </w:r>
      <w:r w:rsidRPr="00A02988">
        <w:rPr>
          <w:sz w:val="24"/>
          <w:lang w:bidi="ru-RU"/>
        </w:rPr>
        <w:t xml:space="preserve"> и </w:t>
      </w:r>
      <w:r w:rsidR="00E836C6" w:rsidRPr="00A02988">
        <w:rPr>
          <w:sz w:val="24"/>
          <w:lang w:bidi="ru-RU"/>
        </w:rPr>
        <w:t xml:space="preserve">предметами </w:t>
      </w:r>
      <w:r w:rsidRPr="00A02988">
        <w:rPr>
          <w:sz w:val="24"/>
          <w:lang w:bidi="ru-RU"/>
        </w:rPr>
        <w:t>искусства, секты и их лидеры.</w:t>
      </w:r>
    </w:p>
    <w:p w14:paraId="3FFF8B62"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Аффинажные предприятия должны вернуться к проведенной Комплексной экспертизе в разумные сроки, которые должны быть определены во внутренней процедуре для цепочки поставок с низким, средним и высоким уровнями риска.</w:t>
      </w:r>
    </w:p>
    <w:p w14:paraId="7D264C96"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proofErr w:type="gramStart"/>
      <w:r w:rsidRPr="00A02988">
        <w:rPr>
          <w:sz w:val="24"/>
          <w:lang w:bidi="ru-RU"/>
        </w:rPr>
        <w:t xml:space="preserve">При изменении уровня риска на высокий, Аффинажные предприятия должны в разумные сроки выполнить шаги в рамках расширенной Комплексной экспертизы, и при необходимости применить Шаг 3 данного </w:t>
      </w:r>
      <w:r w:rsidRPr="00A02988">
        <w:rPr>
          <w:i/>
          <w:sz w:val="24"/>
          <w:lang w:bidi="ru-RU"/>
        </w:rPr>
        <w:t>Руководства</w:t>
      </w:r>
      <w:r w:rsidRPr="00A02988">
        <w:rPr>
          <w:sz w:val="24"/>
          <w:lang w:bidi="ru-RU"/>
        </w:rPr>
        <w:t xml:space="preserve"> (Разработка и внедрение стратегии управления для реагирования на выявленные риски).</w:t>
      </w:r>
      <w:proofErr w:type="gramEnd"/>
    </w:p>
    <w:p w14:paraId="755D9E8D"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bookmarkStart w:id="17" w:name="Monitoring_of_transactions"/>
      <w:bookmarkEnd w:id="17"/>
      <w:r w:rsidRPr="00A02988">
        <w:rPr>
          <w:w w:val="95"/>
          <w:sz w:val="24"/>
          <w:lang w:bidi="ru-RU"/>
        </w:rPr>
        <w:lastRenderedPageBreak/>
        <w:t>Мониторинг сделок</w:t>
      </w:r>
    </w:p>
    <w:p w14:paraId="2ADB7197"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pacing w:val="-1"/>
          <w:sz w:val="24"/>
          <w:lang w:bidi="ru-RU"/>
        </w:rPr>
        <w:t>Аффинажное предприятие должно проводить соответствующую проверку и осуществлять мониторинг сделок, совершаемых в ходе взаимоотношений, чтобы гарантировать их соответствие имеющимся у Аффинажного предприятия сведениям о цепочке поставок и характеристиках рисков. Мониторинг сделок осуществляется с учетом рисков.</w:t>
      </w:r>
    </w:p>
    <w:p w14:paraId="3FA16A8C" w14:textId="77777777" w:rsidR="004874BD" w:rsidRPr="00A02988" w:rsidRDefault="00777031" w:rsidP="00160F8C">
      <w:pPr>
        <w:pStyle w:val="a3"/>
        <w:widowControl/>
        <w:tabs>
          <w:tab w:val="left" w:pos="426"/>
        </w:tabs>
        <w:spacing w:before="100" w:beforeAutospacing="1" w:after="100" w:afterAutospacing="1" w:line="320" w:lineRule="exact"/>
        <w:rPr>
          <w:spacing w:val="-1"/>
          <w:sz w:val="24"/>
          <w:lang w:bidi="ru-RU"/>
        </w:rPr>
      </w:pPr>
      <w:r w:rsidRPr="00A02988">
        <w:rPr>
          <w:spacing w:val="-1"/>
          <w:sz w:val="24"/>
          <w:lang w:bidi="ru-RU"/>
        </w:rPr>
        <w:t>В этой связи, Аффинажное предприятие должно получить и зафиксировать следующую информацию по каждой полученной партии:</w:t>
      </w:r>
    </w:p>
    <w:p w14:paraId="33A59A2A"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pacing w:val="-1"/>
          <w:sz w:val="24"/>
          <w:szCs w:val="20"/>
          <w:lang w:bidi="ru-RU"/>
        </w:rPr>
      </w:pPr>
      <w:r w:rsidRPr="00A02988">
        <w:rPr>
          <w:spacing w:val="-1"/>
          <w:sz w:val="24"/>
          <w:szCs w:val="20"/>
          <w:lang w:bidi="ru-RU"/>
        </w:rPr>
        <w:t>Для Добытого серебра:</w:t>
      </w:r>
    </w:p>
    <w:p w14:paraId="73181333" w14:textId="77777777" w:rsidR="004874BD" w:rsidRPr="00160F8C" w:rsidRDefault="00777031" w:rsidP="00160F8C">
      <w:pPr>
        <w:pStyle w:val="a5"/>
        <w:widowControl/>
        <w:numPr>
          <w:ilvl w:val="1"/>
          <w:numId w:val="3"/>
        </w:numPr>
        <w:tabs>
          <w:tab w:val="left" w:pos="426"/>
          <w:tab w:val="left" w:pos="840"/>
        </w:tabs>
        <w:spacing w:after="120"/>
        <w:ind w:left="845" w:hanging="278"/>
        <w:rPr>
          <w:sz w:val="24"/>
          <w:lang w:bidi="ru-RU"/>
        </w:rPr>
      </w:pPr>
      <w:r w:rsidRPr="00160F8C">
        <w:rPr>
          <w:sz w:val="24"/>
          <w:lang w:bidi="ru-RU"/>
        </w:rPr>
        <w:t>Расчетные веса и результаты химического анализа (от контрагента);</w:t>
      </w:r>
    </w:p>
    <w:p w14:paraId="7DA5727A" w14:textId="77777777" w:rsidR="004874BD" w:rsidRPr="00A02988" w:rsidRDefault="00777031" w:rsidP="00160F8C">
      <w:pPr>
        <w:pStyle w:val="a5"/>
        <w:widowControl/>
        <w:numPr>
          <w:ilvl w:val="1"/>
          <w:numId w:val="3"/>
        </w:numPr>
        <w:tabs>
          <w:tab w:val="left" w:pos="426"/>
          <w:tab w:val="left" w:pos="840"/>
        </w:tabs>
        <w:spacing w:after="120"/>
        <w:ind w:left="845" w:hanging="278"/>
        <w:rPr>
          <w:sz w:val="24"/>
          <w:lang w:bidi="ru-RU"/>
        </w:rPr>
      </w:pPr>
      <w:r w:rsidRPr="00160F8C">
        <w:rPr>
          <w:sz w:val="24"/>
          <w:lang w:bidi="ru-RU"/>
        </w:rPr>
        <w:t>Отгрузочные/транспортные документы (накладная/авианакладная, проформа-инвойс, если применимо);</w:t>
      </w:r>
    </w:p>
    <w:p w14:paraId="4F25A256" w14:textId="77777777" w:rsidR="004874BD" w:rsidRPr="00A02988" w:rsidRDefault="00777031" w:rsidP="00160F8C">
      <w:pPr>
        <w:pStyle w:val="a5"/>
        <w:widowControl/>
        <w:numPr>
          <w:ilvl w:val="1"/>
          <w:numId w:val="3"/>
        </w:numPr>
        <w:tabs>
          <w:tab w:val="left" w:pos="426"/>
          <w:tab w:val="left" w:pos="840"/>
        </w:tabs>
        <w:spacing w:after="120"/>
        <w:ind w:left="845" w:hanging="278"/>
        <w:rPr>
          <w:sz w:val="24"/>
          <w:lang w:bidi="ru-RU"/>
        </w:rPr>
      </w:pPr>
      <w:r w:rsidRPr="00A02988">
        <w:rPr>
          <w:sz w:val="24"/>
          <w:lang w:bidi="ru-RU"/>
        </w:rPr>
        <w:t>Экспортный и импортный формуляр для сделок с высоким риском, если применимо.</w:t>
      </w:r>
    </w:p>
    <w:p w14:paraId="13CE2D93" w14:textId="77777777" w:rsidR="004874BD" w:rsidRPr="00A02988" w:rsidRDefault="00777031" w:rsidP="00057DAC">
      <w:pPr>
        <w:pStyle w:val="a5"/>
        <w:widowControl/>
        <w:numPr>
          <w:ilvl w:val="0"/>
          <w:numId w:val="3"/>
        </w:numPr>
        <w:tabs>
          <w:tab w:val="left" w:pos="426"/>
          <w:tab w:val="left" w:pos="579"/>
          <w:tab w:val="left" w:pos="580"/>
        </w:tabs>
        <w:spacing w:after="120"/>
        <w:ind w:left="0" w:firstLine="0"/>
        <w:rPr>
          <w:sz w:val="24"/>
        </w:rPr>
      </w:pPr>
      <w:r w:rsidRPr="00A02988">
        <w:rPr>
          <w:sz w:val="24"/>
          <w:lang w:bidi="ru-RU"/>
        </w:rPr>
        <w:t>Для Переработанного серебра:</w:t>
      </w:r>
    </w:p>
    <w:p w14:paraId="67B72675" w14:textId="77777777" w:rsidR="004874BD" w:rsidRPr="00A02988" w:rsidRDefault="00777031" w:rsidP="00160F8C">
      <w:pPr>
        <w:pStyle w:val="a5"/>
        <w:widowControl/>
        <w:numPr>
          <w:ilvl w:val="1"/>
          <w:numId w:val="3"/>
        </w:numPr>
        <w:tabs>
          <w:tab w:val="left" w:pos="426"/>
          <w:tab w:val="left" w:pos="840"/>
        </w:tabs>
        <w:spacing w:after="120"/>
        <w:ind w:left="845" w:hanging="278"/>
        <w:rPr>
          <w:sz w:val="24"/>
          <w:lang w:bidi="ru-RU"/>
        </w:rPr>
      </w:pPr>
      <w:r w:rsidRPr="00160F8C">
        <w:rPr>
          <w:sz w:val="24"/>
          <w:lang w:bidi="ru-RU"/>
        </w:rPr>
        <w:t>Расчетный вес (от контрагента);</w:t>
      </w:r>
    </w:p>
    <w:p w14:paraId="784B5056" w14:textId="77777777" w:rsidR="004874BD" w:rsidRPr="00A02988" w:rsidRDefault="00777031" w:rsidP="00160F8C">
      <w:pPr>
        <w:pStyle w:val="a5"/>
        <w:widowControl/>
        <w:numPr>
          <w:ilvl w:val="1"/>
          <w:numId w:val="3"/>
        </w:numPr>
        <w:tabs>
          <w:tab w:val="left" w:pos="426"/>
          <w:tab w:val="left" w:pos="840"/>
        </w:tabs>
        <w:spacing w:after="120"/>
        <w:ind w:left="845" w:hanging="278"/>
        <w:rPr>
          <w:sz w:val="24"/>
          <w:lang w:bidi="ru-RU"/>
        </w:rPr>
      </w:pPr>
      <w:r w:rsidRPr="00160F8C">
        <w:rPr>
          <w:sz w:val="24"/>
          <w:lang w:bidi="ru-RU"/>
        </w:rPr>
        <w:t>Отгрузочные/транспортные документы (накладная/авианакладная, проформа-инвойс, если применимо);</w:t>
      </w:r>
    </w:p>
    <w:p w14:paraId="7C55DA6A" w14:textId="77777777" w:rsidR="004874BD" w:rsidRPr="00A02988" w:rsidRDefault="00777031" w:rsidP="00160F8C">
      <w:pPr>
        <w:pStyle w:val="a5"/>
        <w:widowControl/>
        <w:numPr>
          <w:ilvl w:val="1"/>
          <w:numId w:val="3"/>
        </w:numPr>
        <w:tabs>
          <w:tab w:val="left" w:pos="426"/>
          <w:tab w:val="left" w:pos="840"/>
        </w:tabs>
        <w:spacing w:after="120"/>
        <w:ind w:left="845" w:hanging="278"/>
        <w:rPr>
          <w:sz w:val="24"/>
          <w:lang w:bidi="ru-RU"/>
        </w:rPr>
      </w:pPr>
      <w:r w:rsidRPr="00A02988">
        <w:rPr>
          <w:sz w:val="24"/>
          <w:lang w:bidi="ru-RU"/>
        </w:rPr>
        <w:t>Экспортный и импортный формуляр для сделок с высоким риском, если применимо.</w:t>
      </w:r>
    </w:p>
    <w:p w14:paraId="663E93D8"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Аффинажные предприятия должны удостовериться, что документы согласуются с материалами и соответствуют имеющимся у них сведениям о цепочке поставок, полученным в ходе проведенной Комплексной экспертизы. Аффинажные предприятия должны проверить соответствие полученного груза отгрузочным/транспортным документам. Необходимо изучить предпосылки для заключения несоответствующих сделок и сделок, которые представляются подозрительными, а выводы оформить в письменном виде и передать Специалисту по обеспечению нормативно-правового соответствия. До устранения несоответствий серебро необходимо физически отделить и охранять в соответствии с требованиями Шага 3 данного Руководства. О таких выводах следует сообщить в соответствующие органы, если это применимо.</w:t>
      </w:r>
    </w:p>
    <w:p w14:paraId="5A6CA99E"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r w:rsidRPr="00A02988">
        <w:rPr>
          <w:sz w:val="24"/>
          <w:lang w:bidi="ru-RU"/>
        </w:rPr>
        <w:t>Признание других сертификатов для демонстрации соответствия требованиям Лондонской ассоциации участников рынка драгоценных к проведению Комплексной экспертизы</w:t>
      </w:r>
    </w:p>
    <w:p w14:paraId="3232D511"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Аффинажное предприятие может использовать следующие сертификаты для демонстрации соответствия требованиям, описанным в Шаге 2, Раздел 2 настоящего </w:t>
      </w:r>
      <w:r w:rsidRPr="00A02988">
        <w:rPr>
          <w:i/>
          <w:sz w:val="24"/>
          <w:lang w:bidi="ru-RU"/>
        </w:rPr>
        <w:t>Руководства</w:t>
      </w:r>
      <w:r w:rsidRPr="00A02988">
        <w:rPr>
          <w:sz w:val="24"/>
          <w:lang w:bidi="ru-RU"/>
        </w:rPr>
        <w:t>:</w:t>
      </w:r>
    </w:p>
    <w:p w14:paraId="1313ABBA"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lastRenderedPageBreak/>
        <w:t>Добытый и/или Переработанный серебросодержащий материал, на который Организация, сертифицированная Советом по ответственной ювелирной практике, выдала Передаточный документ в отношении цепочки ответственности и обеспечения сохранности, утвержденный Советом по ответственной ювелирной практике; или</w:t>
      </w:r>
    </w:p>
    <w:p w14:paraId="74AFAF45" w14:textId="77777777" w:rsidR="004874BD" w:rsidRPr="00A02988" w:rsidRDefault="00777031" w:rsidP="00057DAC">
      <w:pPr>
        <w:pStyle w:val="a5"/>
        <w:widowControl/>
        <w:numPr>
          <w:ilvl w:val="0"/>
          <w:numId w:val="3"/>
        </w:numPr>
        <w:tabs>
          <w:tab w:val="left" w:pos="426"/>
          <w:tab w:val="left" w:pos="547"/>
        </w:tabs>
        <w:spacing w:after="120"/>
        <w:ind w:left="0" w:firstLine="0"/>
        <w:rPr>
          <w:sz w:val="24"/>
        </w:rPr>
      </w:pPr>
      <w:r w:rsidRPr="00A02988">
        <w:rPr>
          <w:sz w:val="24"/>
          <w:lang w:bidi="ru-RU"/>
        </w:rPr>
        <w:t>Добытый серебросодержащий материал, когда выдается Декларация руководства о соответствии, которая сопровождает поставки серебра в течение определенного периода.</w:t>
      </w:r>
    </w:p>
    <w:p w14:paraId="4D00E66A" w14:textId="77777777" w:rsidR="004874BD" w:rsidRPr="00A02988" w:rsidRDefault="00777031" w:rsidP="00160F8C">
      <w:pPr>
        <w:pStyle w:val="2"/>
        <w:widowControl/>
        <w:numPr>
          <w:ilvl w:val="0"/>
          <w:numId w:val="2"/>
        </w:numPr>
        <w:tabs>
          <w:tab w:val="left" w:pos="426"/>
          <w:tab w:val="left" w:pos="580"/>
        </w:tabs>
        <w:spacing w:before="100" w:beforeAutospacing="1" w:after="100" w:afterAutospacing="1" w:line="320" w:lineRule="exact"/>
        <w:ind w:left="0" w:firstLine="0"/>
        <w:rPr>
          <w:sz w:val="24"/>
        </w:rPr>
      </w:pPr>
      <w:bookmarkStart w:id="18" w:name="3._Report_risk_assessment_to_designated_"/>
      <w:bookmarkEnd w:id="18"/>
      <w:r w:rsidRPr="00A02988">
        <w:rPr>
          <w:spacing w:val="-1"/>
          <w:sz w:val="24"/>
          <w:lang w:bidi="ru-RU"/>
        </w:rPr>
        <w:t>Уведомление назначенного Высшего руководства о результатах оценки рисков</w:t>
      </w:r>
    </w:p>
    <w:p w14:paraId="74EEC7BB"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Высшее руководство сохраняет окончательный контроль и ответственность за цепочку поставок серебра. Высшее руководство производит тщательный подбор Специалиста по обеспечению нормативно-правового соответствия, предоставляет ему необходимые средства для выполнения его обязанностей и контролирует его работу.</w:t>
      </w:r>
    </w:p>
    <w:p w14:paraId="1E823D39"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Высшее руководство утверждает каждую новую цепочку поставок, оцениваемую как </w:t>
      </w:r>
      <w:proofErr w:type="spellStart"/>
      <w:r w:rsidRPr="00A02988">
        <w:rPr>
          <w:sz w:val="24"/>
          <w:lang w:bidi="ru-RU"/>
        </w:rPr>
        <w:t>высокорискованную</w:t>
      </w:r>
      <w:proofErr w:type="spellEnd"/>
      <w:r w:rsidRPr="00A02988">
        <w:rPr>
          <w:sz w:val="24"/>
          <w:lang w:bidi="ru-RU"/>
        </w:rPr>
        <w:t>, и ежегодно принимает решение о продолжении или прекращении таких деловых отношений.</w:t>
      </w:r>
    </w:p>
    <w:p w14:paraId="057380E3" w14:textId="77777777" w:rsidR="004874BD" w:rsidRPr="00A02988" w:rsidRDefault="004874BD" w:rsidP="00160F8C">
      <w:pPr>
        <w:widowControl/>
        <w:tabs>
          <w:tab w:val="left" w:pos="426"/>
        </w:tabs>
        <w:spacing w:before="100" w:beforeAutospacing="1" w:after="100" w:afterAutospacing="1" w:line="320" w:lineRule="exact"/>
        <w:jc w:val="both"/>
        <w:rPr>
          <w:sz w:val="24"/>
        </w:rPr>
        <w:sectPr w:rsidR="004874BD" w:rsidRPr="00A02988" w:rsidSect="00173500">
          <w:pgSz w:w="11907" w:h="16840" w:code="9"/>
          <w:pgMar w:top="1134" w:right="1134" w:bottom="1134" w:left="1134" w:header="0" w:footer="463" w:gutter="0"/>
          <w:cols w:space="720"/>
        </w:sectPr>
      </w:pPr>
    </w:p>
    <w:p w14:paraId="3159D829" w14:textId="77777777" w:rsidR="00A02988" w:rsidRPr="00A02988" w:rsidRDefault="00A02988" w:rsidP="00A02988">
      <w:pPr>
        <w:pStyle w:val="2"/>
        <w:spacing w:before="100" w:beforeAutospacing="1" w:after="100" w:afterAutospacing="1" w:line="320" w:lineRule="exact"/>
        <w:ind w:left="0" w:firstLine="0"/>
        <w:rPr>
          <w:sz w:val="32"/>
        </w:rPr>
      </w:pPr>
      <w:bookmarkStart w:id="19" w:name="STEP_3_-_Design_and_implement_a_manageme"/>
      <w:bookmarkEnd w:id="19"/>
      <w:r w:rsidRPr="00A02988">
        <w:rPr>
          <w:sz w:val="32"/>
        </w:rPr>
        <w:lastRenderedPageBreak/>
        <w:t>ШАГ 3 – Разработка и внедрение стратегии управления для реагирования на выявленные риски</w:t>
      </w:r>
    </w:p>
    <w:p w14:paraId="3AF1844C"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Цель данного раздела - оценить выявленные риски и среагировать на них с целью предотвращения или смягчения неблагоприятного воздействия. При необходимости, Аффинажным предприятиям следует стремиться к расширению участия поставщиков и собственных систем сбора информации, а также усилению прозрачности.</w:t>
      </w:r>
    </w:p>
    <w:p w14:paraId="1D0C2617" w14:textId="77777777" w:rsidR="004874BD" w:rsidRPr="00A02988" w:rsidRDefault="00777031" w:rsidP="00160F8C">
      <w:pPr>
        <w:pStyle w:val="2"/>
        <w:widowControl/>
        <w:numPr>
          <w:ilvl w:val="0"/>
          <w:numId w:val="1"/>
        </w:numPr>
        <w:tabs>
          <w:tab w:val="left" w:pos="426"/>
          <w:tab w:val="left" w:pos="547"/>
        </w:tabs>
        <w:spacing w:before="100" w:beforeAutospacing="1" w:after="100" w:afterAutospacing="1" w:line="320" w:lineRule="exact"/>
        <w:ind w:left="0" w:firstLine="0"/>
        <w:rPr>
          <w:sz w:val="24"/>
        </w:rPr>
      </w:pPr>
      <w:r w:rsidRPr="00A02988">
        <w:rPr>
          <w:sz w:val="24"/>
          <w:lang w:bidi="ru-RU"/>
        </w:rPr>
        <w:t>Уведомление назначенного Высшего руководства о результатах</w:t>
      </w:r>
    </w:p>
    <w:p w14:paraId="79E5D898"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При необходимости собранная информация, а также фактические и потенциальные риски, выявленные в ходе оценки рисков по цепочке поставок, должны быть доведены до сведения Высшего руководства.</w:t>
      </w:r>
    </w:p>
    <w:p w14:paraId="53FF6AB5" w14:textId="77777777" w:rsidR="004874BD" w:rsidRPr="00A02988" w:rsidRDefault="00777031" w:rsidP="00160F8C">
      <w:pPr>
        <w:pStyle w:val="2"/>
        <w:widowControl/>
        <w:numPr>
          <w:ilvl w:val="0"/>
          <w:numId w:val="1"/>
        </w:numPr>
        <w:tabs>
          <w:tab w:val="left" w:pos="426"/>
          <w:tab w:val="left" w:pos="547"/>
        </w:tabs>
        <w:spacing w:before="100" w:beforeAutospacing="1" w:after="100" w:afterAutospacing="1" w:line="320" w:lineRule="exact"/>
        <w:ind w:left="0" w:firstLine="0"/>
        <w:jc w:val="both"/>
        <w:rPr>
          <w:sz w:val="24"/>
        </w:rPr>
      </w:pPr>
      <w:r w:rsidRPr="00A02988">
        <w:rPr>
          <w:sz w:val="24"/>
          <w:lang w:bidi="ru-RU"/>
        </w:rPr>
        <w:t>Разработка стратегии управления выявленными рисками путем (i) снижения риска при продолжении торговли, (</w:t>
      </w:r>
      <w:proofErr w:type="spellStart"/>
      <w:r w:rsidRPr="00A02988">
        <w:rPr>
          <w:sz w:val="24"/>
          <w:lang w:bidi="ru-RU"/>
        </w:rPr>
        <w:t>ii</w:t>
      </w:r>
      <w:proofErr w:type="spellEnd"/>
      <w:r w:rsidRPr="00A02988">
        <w:rPr>
          <w:sz w:val="24"/>
          <w:lang w:bidi="ru-RU"/>
        </w:rPr>
        <w:t>) снижения риска при приостановке торговли или (</w:t>
      </w:r>
      <w:proofErr w:type="spellStart"/>
      <w:r w:rsidRPr="00A02988">
        <w:rPr>
          <w:sz w:val="24"/>
          <w:lang w:bidi="ru-RU"/>
        </w:rPr>
        <w:t>iii</w:t>
      </w:r>
      <w:proofErr w:type="spellEnd"/>
      <w:r w:rsidRPr="00A02988">
        <w:rPr>
          <w:sz w:val="24"/>
          <w:lang w:bidi="ru-RU"/>
        </w:rPr>
        <w:t>) непринятия риска во внимание</w:t>
      </w:r>
    </w:p>
    <w:p w14:paraId="01040F10"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proofErr w:type="gramStart"/>
      <w:r w:rsidRPr="00A02988">
        <w:rPr>
          <w:sz w:val="24"/>
          <w:lang w:bidi="ru-RU"/>
        </w:rPr>
        <w:t>Если в ходе Комплексной экспертизы цепочки поставок серебра будет установлен факт отмывания денег, финансирования терроризма, серьезного нарушения прав человека, оказания непосредственной или косвенной поддержки незаконному негосударственному вооруженному формированию или намеренного введения в заблуждение насчет происхождения полезных ископаемых, или если вероятность этого считается слишком высокой, Аффинажное предприятие должно немедленно прекратить обогащение серебра из этого источника и уведомить об этом соответствующие органы</w:t>
      </w:r>
      <w:proofErr w:type="gramEnd"/>
      <w:r w:rsidRPr="00A02988">
        <w:rPr>
          <w:sz w:val="24"/>
          <w:lang w:bidi="ru-RU"/>
        </w:rPr>
        <w:t xml:space="preserve"> (при необходимости). При этом в случае оказания косвенной поддержки негосударственному вооруженному формированию путем вымогательства у добросовестных старателей или других участников цепочки поставок, Аффинажные предприятия могут продолжить обогащение серебра, поступающего из этого источника, при условии, что они примут стратегию улучшения.</w:t>
      </w:r>
    </w:p>
    <w:p w14:paraId="2A9538A9"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proofErr w:type="gramStart"/>
      <w:r w:rsidRPr="00A02988">
        <w:rPr>
          <w:sz w:val="24"/>
          <w:lang w:bidi="ru-RU"/>
        </w:rPr>
        <w:t>Если в ходе Комплексной экспертизы цепочки поставок серебра будет сделан вывод о возможности отмывания денег, финансирования терроризма, серьезного нарушения прав человека, оказания непосредственной или косвенной поддержки незаконному негосударственному вооруженному формированию, намеренного введения в заблуждение насчет происхождения полезных ископаемых, Аффинажное предприятие должно приостановить обогащение серебра из этого источника до получения дополнительных сведений, которых будет достаточно для подтверждения или опровержения предварительной оценки</w:t>
      </w:r>
      <w:proofErr w:type="gramEnd"/>
      <w:r w:rsidRPr="00A02988">
        <w:rPr>
          <w:sz w:val="24"/>
          <w:lang w:bidi="ru-RU"/>
        </w:rPr>
        <w:t>.</w:t>
      </w:r>
    </w:p>
    <w:p w14:paraId="00B7D7DA"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proofErr w:type="gramStart"/>
      <w:r w:rsidRPr="00A02988">
        <w:rPr>
          <w:sz w:val="24"/>
          <w:lang w:bidi="ru-RU"/>
        </w:rPr>
        <w:t xml:space="preserve">Если результат проведенной Комплексной экспертизы не является абсолютно удовлетворительным, или если в ходе ее проведения будет установлен факт оказания непосредственной или косвенной поддержки незаконным государственным или частным силовым службам, взяточничества, намеренного введения в </w:t>
      </w:r>
      <w:r w:rsidRPr="00A02988">
        <w:rPr>
          <w:sz w:val="24"/>
          <w:lang w:bidi="ru-RU"/>
        </w:rPr>
        <w:lastRenderedPageBreak/>
        <w:t>заблуждение насчет происхождения полезных ископаемых или неуплаты налогов, сборов и роялти, причитающихся правительству, но оцениваемая компания в цепочке поставок прилагает при этом разумные и добросовестные усилия, Аффинажные</w:t>
      </w:r>
      <w:proofErr w:type="gramEnd"/>
      <w:r w:rsidRPr="00A02988">
        <w:rPr>
          <w:sz w:val="24"/>
          <w:lang w:bidi="ru-RU"/>
        </w:rPr>
        <w:t xml:space="preserve"> предприятия могут продолжить обогащать серебро, полученное из этого источника, при условии принятия (в разумные сроки) стратегии улучшения, разработанной с участием поставщика и четко прописывающей цели по исполнению.</w:t>
      </w:r>
    </w:p>
    <w:p w14:paraId="27E0813E" w14:textId="77777777" w:rsidR="004874BD" w:rsidRPr="00A02988" w:rsidRDefault="00777031" w:rsidP="00160F8C">
      <w:pPr>
        <w:pStyle w:val="2"/>
        <w:keepNext/>
        <w:widowControl/>
        <w:numPr>
          <w:ilvl w:val="0"/>
          <w:numId w:val="1"/>
        </w:numPr>
        <w:tabs>
          <w:tab w:val="left" w:pos="426"/>
          <w:tab w:val="left" w:pos="547"/>
        </w:tabs>
        <w:spacing w:before="100" w:beforeAutospacing="1" w:after="100" w:afterAutospacing="1" w:line="320" w:lineRule="exact"/>
        <w:ind w:left="0" w:firstLine="0"/>
        <w:jc w:val="both"/>
        <w:rPr>
          <w:sz w:val="24"/>
        </w:rPr>
      </w:pPr>
      <w:bookmarkStart w:id="20" w:name="3._Where_a_management_strategy_of_risk_m"/>
      <w:bookmarkEnd w:id="20"/>
      <w:r w:rsidRPr="00A02988">
        <w:rPr>
          <w:sz w:val="24"/>
          <w:lang w:bidi="ru-RU"/>
        </w:rPr>
        <w:t>При использовании стратегии управления по снижению риска, она должна включать измеримые шаги, которые необходимо предпринять и выполнить, мониторинг исполнения, периодическую переоценку рисков и предоставление регулярной отчетности назначенному высшему руководству.</w:t>
      </w:r>
    </w:p>
    <w:p w14:paraId="0403E362"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Принципы снижения рисков, которые легли в основу данного раздела, ориентированы на добросовестные усилия по внесению значимых улучшений в цепочку поставок, при продолжении Аффинажными предприятиями своих отношений с Поставщиками.</w:t>
      </w:r>
    </w:p>
    <w:p w14:paraId="67BABE8A" w14:textId="5784648C"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Стратегией улучшения, описанной в Разделе 2 выше, должны быть предусмотрены четкие цели по исполнению, включая качественные и/или количественные показатели для измерения улучшений. Необходимо определить значительные и измеримые показатели улучшения в устранении риска в течение шести месяцев с момента принятия плана управления рисками. Затем определяются дополнительные меры в пересмотренной стратегии улучшения с учетом прогресса, достигнутого в течение первых шести месяцев. Если же такое измеримое улучшение не было достигнуто за шесть месяцев, Аффинажным предприятиям следует приостановить отношения, пока поставщик не отреагирует на план улучшения.</w:t>
      </w:r>
    </w:p>
    <w:p w14:paraId="5EF635BC"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Необходимо осуществлять постоянный мониторинг планов по снижению рисков и их эффективности с регулярным предоставлением отчетов высшему руководству. Если же попытки по снижению рисков не увенчались успехом в течение шести месяцев с момента принятия плана управления рисками, Аффинажным предприятиям следует рассмотреть возможность приостановления или прекращения работы с поставщиком.</w:t>
      </w:r>
    </w:p>
    <w:p w14:paraId="70958CA4"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При необходимости, Аффинажные предприятия могут проконсультироваться и/или отслеживать прогресс с заинтересованными сторонами по плану снижения рисков, а также использовать рычаги воздействия на участников цепочек поставок, которые могут поспособствовать снижению рисков.</w:t>
      </w:r>
    </w:p>
    <w:p w14:paraId="4BEEAE79"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При необходимости, Аффинажные предприятия могут проконсультироваться с соответствующими заинтересованными сторонами (например, местные или центральные органы власти, добывающие компании, международные организации или организация гражданского общества, и затронутые третьи лица). Аффинажные предприятия также могут выиграть от создания или поддержки сетей мониторинга на местном уровне для содействия мониторингу процесса принятия мер по снижению рисков.</w:t>
      </w:r>
    </w:p>
    <w:p w14:paraId="378DB9A2"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lastRenderedPageBreak/>
        <w:t>После окончания срока необходимо провести оценку с целью определить, были ли меры приняты должным образом. О результатах такой оценки необходимо уведомить Высшее руководство, которое примет решение о продолжении, прекращении или приостановлении работы с конкретной цепочкой поставок. Процесс принятия решения должен быть задокументирован.</w:t>
      </w:r>
    </w:p>
    <w:p w14:paraId="53174C79" w14:textId="77777777" w:rsidR="004874BD" w:rsidRPr="00A02988" w:rsidRDefault="004874BD" w:rsidP="00160F8C">
      <w:pPr>
        <w:widowControl/>
        <w:tabs>
          <w:tab w:val="left" w:pos="426"/>
        </w:tabs>
        <w:spacing w:before="100" w:beforeAutospacing="1" w:after="100" w:afterAutospacing="1" w:line="320" w:lineRule="exact"/>
        <w:jc w:val="both"/>
        <w:rPr>
          <w:sz w:val="24"/>
        </w:rPr>
        <w:sectPr w:rsidR="004874BD" w:rsidRPr="00A02988" w:rsidSect="00173500">
          <w:pgSz w:w="11907" w:h="16840" w:code="9"/>
          <w:pgMar w:top="1134" w:right="1134" w:bottom="1134" w:left="1134" w:header="0" w:footer="463" w:gutter="0"/>
          <w:cols w:space="720"/>
        </w:sectPr>
      </w:pPr>
    </w:p>
    <w:p w14:paraId="10369B54" w14:textId="77777777" w:rsidR="00A02988" w:rsidRPr="00A02988" w:rsidRDefault="00A02988" w:rsidP="00A02988">
      <w:pPr>
        <w:pStyle w:val="2"/>
        <w:spacing w:before="100" w:beforeAutospacing="1" w:after="100" w:afterAutospacing="1" w:line="320" w:lineRule="exact"/>
        <w:ind w:left="0" w:firstLine="0"/>
        <w:rPr>
          <w:sz w:val="32"/>
        </w:rPr>
      </w:pPr>
      <w:bookmarkStart w:id="21" w:name="It_is_expected_that_if_a_Refiner_is_bein"/>
      <w:bookmarkStart w:id="22" w:name="STEP_4_-_Arrange_for_an_independent_thir"/>
      <w:bookmarkEnd w:id="21"/>
      <w:bookmarkEnd w:id="22"/>
      <w:r w:rsidRPr="00A02988">
        <w:rPr>
          <w:sz w:val="32"/>
        </w:rPr>
        <w:lastRenderedPageBreak/>
        <w:t>ШАГ 4 – Организация независимого аудита третьей стороной в отношении Комплексной экспертизы цепочки поставок</w:t>
      </w:r>
    </w:p>
    <w:p w14:paraId="53102060"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Предполагается, что если Аффинажное предприятие проходит аудит на предмет соответствия требованиям Руководства по ответственной работе с золотом и Руководства по ответственной работе с серебром, то проводится только один комбинированный аудит.</w:t>
      </w:r>
    </w:p>
    <w:p w14:paraId="2CB6E389"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r w:rsidRPr="00A02988">
        <w:rPr>
          <w:w w:val="95"/>
          <w:sz w:val="24"/>
          <w:lang w:bidi="ru-RU"/>
        </w:rPr>
        <w:t>Требования к аудиторам</w:t>
      </w:r>
    </w:p>
    <w:p w14:paraId="64EB979B"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Аффинажные предприятия должны проходить аудит систем и практики управления цепочкой поставок серебра, проводимый независимыми и компетентными третьими сторонами из списка Утвержденных аудиторов, с которым можно ознакомиться на веб-сайте Лондонской ассоциации участников рынка драгоценных металлов (www.lbma.org.uk).</w:t>
      </w:r>
    </w:p>
    <w:p w14:paraId="29F8AFAE"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bookmarkStart w:id="23" w:name="Audit_Standards"/>
      <w:bookmarkEnd w:id="23"/>
      <w:r w:rsidRPr="00A02988">
        <w:rPr>
          <w:spacing w:val="-1"/>
          <w:sz w:val="24"/>
          <w:lang w:bidi="ru-RU"/>
        </w:rPr>
        <w:t>Стандарты аудита</w:t>
      </w:r>
    </w:p>
    <w:p w14:paraId="5C76942C"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Лондонская ассоциация участников рынка драгоценных металлов признает, что существуют различные типы аудиторских заданий, которые знакомы Аффинажным предприятиям. По этой причине Лондонская ассоциация участников рынка драгоценных металлов принимает либо аудиторское задание, выполненное в соответствии с ISAE 3000, либо стандарт сертификации ISO 19011:2011. Лондонская ассоциация участников рынка драгоценных металлов подготовила подробное Руководство по аудиту третьей стороной в отношении этих двух типов заданий.</w:t>
      </w:r>
    </w:p>
    <w:p w14:paraId="64EAAB1D" w14:textId="77777777" w:rsidR="004874BD" w:rsidRPr="00A02988" w:rsidRDefault="00777031" w:rsidP="00160F8C">
      <w:pPr>
        <w:pStyle w:val="3"/>
        <w:widowControl/>
        <w:tabs>
          <w:tab w:val="left" w:pos="426"/>
        </w:tabs>
        <w:spacing w:before="100" w:beforeAutospacing="1" w:after="100" w:afterAutospacing="1" w:line="320" w:lineRule="exact"/>
        <w:ind w:left="0"/>
        <w:rPr>
          <w:sz w:val="24"/>
        </w:rPr>
      </w:pPr>
      <w:bookmarkStart w:id="24" w:name="Audit_Procedures"/>
      <w:bookmarkEnd w:id="24"/>
      <w:r w:rsidRPr="00A02988">
        <w:rPr>
          <w:spacing w:val="-1"/>
          <w:sz w:val="24"/>
          <w:lang w:bidi="ru-RU"/>
        </w:rPr>
        <w:t>Аудиторские процедуры</w:t>
      </w:r>
    </w:p>
    <w:p w14:paraId="140E2A75"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При проведен</w:t>
      </w:r>
      <w:proofErr w:type="gramStart"/>
      <w:r w:rsidRPr="00A02988">
        <w:rPr>
          <w:sz w:val="24"/>
          <w:lang w:bidi="ru-RU"/>
        </w:rPr>
        <w:t>ии ау</w:t>
      </w:r>
      <w:proofErr w:type="gramEnd"/>
      <w:r w:rsidRPr="00A02988">
        <w:rPr>
          <w:sz w:val="24"/>
          <w:lang w:bidi="ru-RU"/>
        </w:rPr>
        <w:t>дита третьей стороной на основе ISO 19011:2011 аудиторы проводят оценку на основе утвержденного Лондонской ассоциацией участников рынка драгоценных металлов Руководства по аудиту третьей стороной, в частности тех разделов, которые взяты из ISO 19011:2011.</w:t>
      </w:r>
    </w:p>
    <w:p w14:paraId="7D5E48DA"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При выполнении заданий по подтверждению достоверности информац</w:t>
      </w:r>
      <w:proofErr w:type="gramStart"/>
      <w:r w:rsidRPr="00A02988">
        <w:rPr>
          <w:sz w:val="24"/>
          <w:lang w:bidi="ru-RU"/>
        </w:rPr>
        <w:t>ии ау</w:t>
      </w:r>
      <w:proofErr w:type="gramEnd"/>
      <w:r w:rsidRPr="00A02988">
        <w:rPr>
          <w:sz w:val="24"/>
          <w:lang w:bidi="ru-RU"/>
        </w:rPr>
        <w:t>диторы должны применять ISAE 3000 и сверяться с Руководством Лондонской ассоциации участников рынка драгоценных металлов по аудиту третьей стороной, особенно с теми разделами, которые содержат дополнительные указания по применению стандарта ISAE 3000. Аудиторы подтверждают достоверность информации в Отчете о соблюдении Аффинажным предприятием требований (см. Шаг 5).</w:t>
      </w:r>
    </w:p>
    <w:p w14:paraId="251DC16B" w14:textId="77777777" w:rsidR="004874BD" w:rsidRPr="00A02988" w:rsidRDefault="00777031" w:rsidP="00160F8C">
      <w:pPr>
        <w:widowControl/>
        <w:tabs>
          <w:tab w:val="left" w:pos="426"/>
        </w:tabs>
        <w:spacing w:before="100" w:beforeAutospacing="1" w:after="100" w:afterAutospacing="1" w:line="320" w:lineRule="exact"/>
        <w:rPr>
          <w:b/>
          <w:i/>
          <w:sz w:val="24"/>
        </w:rPr>
      </w:pPr>
      <w:r w:rsidRPr="00A02988">
        <w:rPr>
          <w:b/>
          <w:i/>
          <w:spacing w:val="-1"/>
          <w:sz w:val="24"/>
          <w:lang w:bidi="ru-RU"/>
        </w:rPr>
        <w:t>Отчет об аудиторской проверке</w:t>
      </w:r>
    </w:p>
    <w:p w14:paraId="546B7012" w14:textId="77777777" w:rsidR="004874BD" w:rsidRPr="00A02988" w:rsidRDefault="00777031" w:rsidP="00160F8C">
      <w:pPr>
        <w:pStyle w:val="2"/>
        <w:widowControl/>
        <w:tabs>
          <w:tab w:val="left" w:pos="426"/>
        </w:tabs>
        <w:spacing w:before="100" w:beforeAutospacing="1" w:after="100" w:afterAutospacing="1" w:line="320" w:lineRule="exact"/>
        <w:ind w:left="0" w:firstLine="0"/>
        <w:rPr>
          <w:sz w:val="24"/>
        </w:rPr>
      </w:pPr>
      <w:r w:rsidRPr="00A02988">
        <w:rPr>
          <w:sz w:val="24"/>
          <w:lang w:bidi="ru-RU"/>
        </w:rPr>
        <w:t>ISO 19011:2011</w:t>
      </w:r>
    </w:p>
    <w:p w14:paraId="69FE6214"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В аудиторском отчете указываются:</w:t>
      </w:r>
    </w:p>
    <w:p w14:paraId="7084F450"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lastRenderedPageBreak/>
        <w:t>Подтверждение профессиональной квалификац</w:t>
      </w:r>
      <w:proofErr w:type="gramStart"/>
      <w:r w:rsidRPr="00A02988">
        <w:rPr>
          <w:sz w:val="24"/>
          <w:lang w:bidi="ru-RU"/>
        </w:rPr>
        <w:t>ии ау</w:t>
      </w:r>
      <w:proofErr w:type="gramEnd"/>
      <w:r w:rsidRPr="00A02988">
        <w:rPr>
          <w:sz w:val="24"/>
          <w:lang w:bidi="ru-RU"/>
        </w:rPr>
        <w:t>дитора;</w:t>
      </w:r>
    </w:p>
    <w:p w14:paraId="379D9068"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Подтверждение независимости аудитора;</w:t>
      </w:r>
    </w:p>
    <w:p w14:paraId="32B9BCA0"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Применяемые стандарты аудита;</w:t>
      </w:r>
    </w:p>
    <w:p w14:paraId="1A860D9C"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 xml:space="preserve">Аудиторская оценка соблюдения Аффинажным предприятием требований настоящего </w:t>
      </w:r>
      <w:r w:rsidRPr="00A02988">
        <w:rPr>
          <w:i/>
          <w:sz w:val="24"/>
          <w:lang w:bidi="ru-RU"/>
        </w:rPr>
        <w:t>Руководства</w:t>
      </w:r>
      <w:r w:rsidRPr="00A02988">
        <w:rPr>
          <w:sz w:val="24"/>
          <w:lang w:bidi="ru-RU"/>
        </w:rPr>
        <w:t>;</w:t>
      </w:r>
    </w:p>
    <w:p w14:paraId="23C4D817"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Приложение, в котором перечислены страны происхождения серебра (как добытого, так и переработанного), и объем, полученный из каждой страны, за период оценки.</w:t>
      </w:r>
    </w:p>
    <w:p w14:paraId="685111BF" w14:textId="77777777" w:rsidR="004874BD" w:rsidRPr="00A02988" w:rsidRDefault="00777031" w:rsidP="00160F8C">
      <w:pPr>
        <w:pStyle w:val="2"/>
        <w:widowControl/>
        <w:tabs>
          <w:tab w:val="left" w:pos="426"/>
        </w:tabs>
        <w:spacing w:before="100" w:beforeAutospacing="1" w:after="100" w:afterAutospacing="1" w:line="320" w:lineRule="exact"/>
        <w:ind w:left="0" w:firstLine="0"/>
        <w:jc w:val="both"/>
        <w:rPr>
          <w:sz w:val="24"/>
        </w:rPr>
      </w:pPr>
      <w:r w:rsidRPr="00A02988">
        <w:rPr>
          <w:sz w:val="24"/>
          <w:lang w:bidi="ru-RU"/>
        </w:rPr>
        <w:t>ISAE 3000</w:t>
      </w:r>
    </w:p>
    <w:p w14:paraId="1204E899"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В аудиторском отчете указываются:</w:t>
      </w:r>
    </w:p>
    <w:p w14:paraId="1F4D8782"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Подтверждение профессиональной квалификац</w:t>
      </w:r>
      <w:proofErr w:type="gramStart"/>
      <w:r w:rsidRPr="00A02988">
        <w:rPr>
          <w:sz w:val="24"/>
          <w:lang w:bidi="ru-RU"/>
        </w:rPr>
        <w:t>ии ау</w:t>
      </w:r>
      <w:proofErr w:type="gramEnd"/>
      <w:r w:rsidRPr="00A02988">
        <w:rPr>
          <w:sz w:val="24"/>
          <w:lang w:bidi="ru-RU"/>
        </w:rPr>
        <w:t>дитора;</w:t>
      </w:r>
    </w:p>
    <w:p w14:paraId="7C545A4B"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Подтверждение независимости аудитора;</w:t>
      </w:r>
    </w:p>
    <w:p w14:paraId="4B18E7CE"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Применяемые стандарты аудита;</w:t>
      </w:r>
    </w:p>
    <w:p w14:paraId="1581ADB8"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Аудиторская оценка в Отчете о соблюдении Аффинажным предприятием требований;</w:t>
      </w:r>
    </w:p>
    <w:p w14:paraId="471D9126" w14:textId="77777777" w:rsidR="004874BD" w:rsidRPr="00A02988" w:rsidRDefault="00777031" w:rsidP="00057DAC">
      <w:pPr>
        <w:pStyle w:val="a5"/>
        <w:widowControl/>
        <w:numPr>
          <w:ilvl w:val="0"/>
          <w:numId w:val="3"/>
        </w:numPr>
        <w:tabs>
          <w:tab w:val="left" w:pos="426"/>
          <w:tab w:val="left" w:pos="618"/>
          <w:tab w:val="left" w:pos="619"/>
        </w:tabs>
        <w:spacing w:after="120"/>
        <w:ind w:left="0" w:firstLine="0"/>
        <w:rPr>
          <w:sz w:val="24"/>
        </w:rPr>
      </w:pPr>
      <w:r w:rsidRPr="00A02988">
        <w:rPr>
          <w:sz w:val="24"/>
          <w:lang w:bidi="ru-RU"/>
        </w:rPr>
        <w:t>Приложение, в котором перечислены страны происхождения серебра (как добытого, так и переработанного), и объем, полученный из каждой страны, за период оценки.</w:t>
      </w:r>
    </w:p>
    <w:p w14:paraId="0CB08DA2"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Кроме того, аудиторы должны предоставить Аффинажному предприятию рекомендации по совершенствованию его </w:t>
      </w:r>
      <w:proofErr w:type="gramStart"/>
      <w:r w:rsidRPr="00A02988">
        <w:rPr>
          <w:sz w:val="24"/>
          <w:lang w:bidi="ru-RU"/>
        </w:rPr>
        <w:t>методов организации цепочки поставок серебра</w:t>
      </w:r>
      <w:proofErr w:type="gramEnd"/>
      <w:r w:rsidRPr="00A02988">
        <w:rPr>
          <w:sz w:val="24"/>
          <w:lang w:bidi="ru-RU"/>
        </w:rPr>
        <w:t>. Такие рекомендации могут быть вынесены в отдельный отчет.</w:t>
      </w:r>
    </w:p>
    <w:p w14:paraId="74C9814A"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Независимо от выбранного подхода к аудиту третьей стороной, при наличии несоответствий со средним риском, высоким риском или недопустимых соответствий и/или невыполнении Аффинажным предприятием одного или нескольких требований, изложенных в Шагах 1-5 данного </w:t>
      </w:r>
      <w:r w:rsidRPr="00A02988">
        <w:rPr>
          <w:i/>
          <w:sz w:val="24"/>
          <w:lang w:bidi="ru-RU"/>
        </w:rPr>
        <w:t>Руководства</w:t>
      </w:r>
      <w:r w:rsidRPr="00A02988">
        <w:rPr>
          <w:sz w:val="24"/>
          <w:lang w:bidi="ru-RU"/>
        </w:rPr>
        <w:t>, Аффинажные предприятия также предоставляют План корректирующих действий. Копии Плана корректирующих действий следует передать Лондонской ассоциации участников рынка драгоценных металлов.</w:t>
      </w:r>
    </w:p>
    <w:p w14:paraId="7171F548"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План корректирующих действий Аффинажного предприятия должен включать (по каждому выявленному несоответствию со средним риском, с высоким риском и по каждому недопустимому несоответствию):</w:t>
      </w:r>
    </w:p>
    <w:p w14:paraId="7854EE57"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Описание проблемы;</w:t>
      </w:r>
    </w:p>
    <w:p w14:paraId="6D487D08"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 xml:space="preserve">Ссылку на соответствующий раздел данного </w:t>
      </w:r>
      <w:r w:rsidRPr="00160F8C">
        <w:rPr>
          <w:sz w:val="24"/>
          <w:lang w:bidi="ru-RU"/>
        </w:rPr>
        <w:t>Руководства</w:t>
      </w:r>
      <w:r w:rsidRPr="00A02988">
        <w:rPr>
          <w:sz w:val="24"/>
          <w:lang w:bidi="ru-RU"/>
        </w:rPr>
        <w:t>;</w:t>
      </w:r>
    </w:p>
    <w:p w14:paraId="10F19ECF"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Присвоенный рейтинг риска несоответствия;</w:t>
      </w:r>
    </w:p>
    <w:p w14:paraId="20662B44"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Корректирующие действия, которые должны быть предприняты для каждого выявленного несоответствия;</w:t>
      </w:r>
    </w:p>
    <w:p w14:paraId="0A968ECC"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 xml:space="preserve">Сроки выполнения корректирующих действий для каждого выявленного несоответствия; </w:t>
      </w:r>
    </w:p>
    <w:p w14:paraId="4CF0D956"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lastRenderedPageBreak/>
        <w:t>Лицо, ответственное за выполнение каждого корректирующего действия.</w:t>
      </w:r>
    </w:p>
    <w:p w14:paraId="4ECE9F0B"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Аудиторы должны подготовить Отчет руководства, который включает, по меньшей мере:</w:t>
      </w:r>
    </w:p>
    <w:p w14:paraId="241F4F73"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Отчетный период;</w:t>
      </w:r>
    </w:p>
    <w:p w14:paraId="6037B116"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Объем аудита;</w:t>
      </w:r>
    </w:p>
    <w:p w14:paraId="53918FAD"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Стандарт аудита и уровень подтверждения достоверности информации;</w:t>
      </w:r>
    </w:p>
    <w:p w14:paraId="1241D543"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Описание членов группы аудиторов;</w:t>
      </w:r>
    </w:p>
    <w:p w14:paraId="029F3706"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Квалификация и независимость членов группы аудиторов;</w:t>
      </w:r>
    </w:p>
    <w:p w14:paraId="310E7FD4"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Дата проведения аудита;</w:t>
      </w:r>
    </w:p>
    <w:p w14:paraId="144AA6A9"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Количество человеко-дней, требуемое для проведения аудита;</w:t>
      </w:r>
    </w:p>
    <w:p w14:paraId="0EE8662F"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Краткое изложение процедур подтверждения достоверности информации;</w:t>
      </w:r>
    </w:p>
    <w:p w14:paraId="04A4C2D0"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Наблюдения, выводы и рекомендации по улучшению в рамках процедур подтверждения достоверности информации;</w:t>
      </w:r>
    </w:p>
    <w:p w14:paraId="3FD25FB5"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Описание отклонения от соответствия;</w:t>
      </w:r>
    </w:p>
    <w:p w14:paraId="04AE7ACC"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rPr>
      </w:pPr>
      <w:r w:rsidRPr="00A02988">
        <w:rPr>
          <w:sz w:val="24"/>
          <w:lang w:bidi="ru-RU"/>
        </w:rPr>
        <w:t>Заключение о подтверждении достоверности информации.</w:t>
      </w:r>
    </w:p>
    <w:p w14:paraId="6B9EAAD7" w14:textId="77777777" w:rsidR="004874BD" w:rsidRPr="00A02988" w:rsidRDefault="00777031" w:rsidP="00160F8C">
      <w:pPr>
        <w:pStyle w:val="2"/>
        <w:widowControl/>
        <w:tabs>
          <w:tab w:val="left" w:pos="426"/>
        </w:tabs>
        <w:spacing w:before="100" w:beforeAutospacing="1" w:after="100" w:afterAutospacing="1" w:line="320" w:lineRule="exact"/>
        <w:ind w:left="0" w:firstLine="0"/>
        <w:rPr>
          <w:sz w:val="24"/>
        </w:rPr>
      </w:pPr>
      <w:bookmarkStart w:id="25" w:name="Audit_Periodicity"/>
      <w:bookmarkEnd w:id="25"/>
      <w:r w:rsidRPr="00A02988">
        <w:rPr>
          <w:spacing w:val="-1"/>
          <w:sz w:val="24"/>
          <w:lang w:bidi="ru-RU"/>
        </w:rPr>
        <w:t>Периодичность аудита</w:t>
      </w:r>
    </w:p>
    <w:p w14:paraId="26D4FDF0" w14:textId="649C9623"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Аудит соблюдения Аффинажным предприятием данного Руководства проводится ежегодно в течение трех месяцев после окончания финансового года, который будет охватывать деятельность за 12-месячный отчетный период. Полный аудит (достаточное подтверждение достоверности информации/разумная оценка)</w:t>
      </w:r>
      <w:r w:rsidR="00E35C37" w:rsidRPr="00A02988">
        <w:rPr>
          <w:sz w:val="24"/>
          <w:lang w:bidi="ru-RU"/>
        </w:rPr>
        <w:t xml:space="preserve"> </w:t>
      </w:r>
      <w:r w:rsidRPr="00A02988">
        <w:rPr>
          <w:sz w:val="24"/>
          <w:lang w:bidi="ru-RU"/>
        </w:rPr>
        <w:t>проводится с целью удостовериться, что Аффинажные предприятия выполняют требования данного Руководства. После успешного прохождения полного аудита при отсутствии несоответствий со средним, высоким риском или недопустимых соответствий, в течение последующих двух лет в отношении Аффинажных предприятий может проводиться аудит более низкого уровня или «аудиторский обзор» (ограниченное подтверждение достоверности информации/оценочный обзор). Полный аудит проводится каждые три года; но некоторые Аффинажные предприятия могут проводить полный аудит ежегодно. При обнаружении случаев несоответствия, или если в цепочке поставок Аффинажного предприятия произойдет значительное изменение обстоятельств, аудит необходимо проводить чаще.</w:t>
      </w:r>
    </w:p>
    <w:p w14:paraId="371EAF62" w14:textId="77777777" w:rsidR="004874BD" w:rsidRPr="00A02988" w:rsidRDefault="00777031" w:rsidP="00160F8C">
      <w:pPr>
        <w:pStyle w:val="2"/>
        <w:widowControl/>
        <w:tabs>
          <w:tab w:val="left" w:pos="426"/>
        </w:tabs>
        <w:spacing w:before="100" w:beforeAutospacing="1" w:after="100" w:afterAutospacing="1" w:line="320" w:lineRule="exact"/>
        <w:ind w:left="0" w:firstLine="0"/>
        <w:rPr>
          <w:sz w:val="24"/>
        </w:rPr>
      </w:pPr>
      <w:bookmarkStart w:id="26" w:name="Submission_of_Audit_Report_to_LBMA"/>
      <w:bookmarkEnd w:id="26"/>
      <w:r w:rsidRPr="00A02988">
        <w:rPr>
          <w:sz w:val="24"/>
          <w:lang w:bidi="ru-RU"/>
        </w:rPr>
        <w:t>Представление аудиторского отчета в Лондонскую ассоциацию участников рынка драгоценных металлов</w:t>
      </w:r>
    </w:p>
    <w:p w14:paraId="0909D4E0" w14:textId="77777777" w:rsidR="004874BD" w:rsidRPr="00A02988" w:rsidRDefault="00777031" w:rsidP="00160F8C">
      <w:pPr>
        <w:pStyle w:val="a3"/>
        <w:widowControl/>
        <w:tabs>
          <w:tab w:val="left" w:pos="426"/>
        </w:tabs>
        <w:spacing w:before="100" w:beforeAutospacing="1" w:after="100" w:afterAutospacing="1" w:line="320" w:lineRule="exact"/>
        <w:rPr>
          <w:sz w:val="24"/>
        </w:rPr>
      </w:pPr>
      <w:bookmarkStart w:id="27" w:name="Copies_of_Full_Audit_Reports,_Review_Rep"/>
      <w:bookmarkEnd w:id="27"/>
      <w:r w:rsidRPr="00A02988">
        <w:rPr>
          <w:sz w:val="24"/>
          <w:lang w:bidi="ru-RU"/>
        </w:rPr>
        <w:t>Копии полных аудиторских отчетов, обзорных отчетов и отчета руководства следует ежегодно отправлять главному исполнительному директору Лондонской ассоциации участников рынка драгоценных металлов по электронной почте.</w:t>
      </w:r>
    </w:p>
    <w:p w14:paraId="59383F7C" w14:textId="77777777" w:rsidR="004874BD" w:rsidRPr="00A02988" w:rsidRDefault="004874BD" w:rsidP="00160F8C">
      <w:pPr>
        <w:widowControl/>
        <w:tabs>
          <w:tab w:val="left" w:pos="426"/>
        </w:tabs>
        <w:spacing w:before="100" w:beforeAutospacing="1" w:after="100" w:afterAutospacing="1" w:line="320" w:lineRule="exact"/>
        <w:rPr>
          <w:sz w:val="24"/>
        </w:rPr>
        <w:sectPr w:rsidR="004874BD" w:rsidRPr="00A02988" w:rsidSect="00173500">
          <w:footerReference w:type="default" r:id="rId10"/>
          <w:pgSz w:w="11907" w:h="16840" w:code="9"/>
          <w:pgMar w:top="1134" w:right="1134" w:bottom="1134" w:left="1134" w:header="0" w:footer="0" w:gutter="0"/>
          <w:cols w:space="720"/>
        </w:sectPr>
      </w:pPr>
    </w:p>
    <w:p w14:paraId="349BCE83" w14:textId="792119AD" w:rsidR="004874BD" w:rsidRPr="00A02988" w:rsidRDefault="00777031" w:rsidP="00A02988">
      <w:pPr>
        <w:pStyle w:val="2"/>
        <w:spacing w:before="100" w:beforeAutospacing="1" w:after="100" w:afterAutospacing="1" w:line="320" w:lineRule="exact"/>
        <w:ind w:left="0" w:firstLine="0"/>
        <w:rPr>
          <w:sz w:val="32"/>
        </w:rPr>
      </w:pPr>
      <w:bookmarkStart w:id="28" w:name="STEP_5_-_Report_on_supply_chain_due_dili"/>
      <w:bookmarkEnd w:id="28"/>
      <w:r w:rsidRPr="00A02988">
        <w:rPr>
          <w:sz w:val="32"/>
        </w:rPr>
        <w:lastRenderedPageBreak/>
        <w:t xml:space="preserve">ШАГ 5 </w:t>
      </w:r>
      <w:r w:rsidR="005C5121" w:rsidRPr="00A02988">
        <w:rPr>
          <w:sz w:val="32"/>
        </w:rPr>
        <w:t xml:space="preserve">– </w:t>
      </w:r>
      <w:r w:rsidRPr="00A02988">
        <w:rPr>
          <w:sz w:val="32"/>
        </w:rPr>
        <w:t>Отчет о проведенной Комплексной экспертизе цепочки поставок</w:t>
      </w:r>
    </w:p>
    <w:p w14:paraId="5034D385"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Аффинажные предприятия должны публично сообщать о своей политике и практике Комплексной экспертизы цепочки поставок серебра, уделяя должное внимание безопасности, служебной информации и законным правам других участников цепочки поставок. Аффинажные предприятия должны ежегодно публично </w:t>
      </w:r>
      <w:proofErr w:type="gramStart"/>
      <w:r w:rsidRPr="00A02988">
        <w:rPr>
          <w:sz w:val="24"/>
          <w:lang w:bidi="ru-RU"/>
        </w:rPr>
        <w:t>отчитываться о соблюдении</w:t>
      </w:r>
      <w:proofErr w:type="gramEnd"/>
      <w:r w:rsidRPr="00A02988">
        <w:rPr>
          <w:sz w:val="24"/>
          <w:lang w:bidi="ru-RU"/>
        </w:rPr>
        <w:t xml:space="preserve"> данного Руководства в отношении деятельности за 12-месячный отчетный период.</w:t>
      </w:r>
    </w:p>
    <w:p w14:paraId="3A61FDE7" w14:textId="77777777" w:rsidR="004874BD" w:rsidRPr="00A02988" w:rsidRDefault="00777031" w:rsidP="00160F8C">
      <w:pPr>
        <w:pStyle w:val="2"/>
        <w:widowControl/>
        <w:tabs>
          <w:tab w:val="left" w:pos="426"/>
        </w:tabs>
        <w:spacing w:before="100" w:beforeAutospacing="1" w:after="100" w:afterAutospacing="1" w:line="320" w:lineRule="exact"/>
        <w:ind w:left="0" w:firstLine="0"/>
        <w:rPr>
          <w:sz w:val="24"/>
        </w:rPr>
      </w:pPr>
      <w:bookmarkStart w:id="29" w:name="ISO_19011:2011"/>
      <w:bookmarkEnd w:id="29"/>
      <w:r w:rsidRPr="00A02988">
        <w:rPr>
          <w:sz w:val="24"/>
          <w:lang w:bidi="ru-RU"/>
        </w:rPr>
        <w:t>ISO 19011:2011</w:t>
      </w:r>
    </w:p>
    <w:p w14:paraId="76667FB1" w14:textId="05E309D9"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 xml:space="preserve">Для проведения аудита третьей стороной на основе ISO 19011:2011 Аффинажные предприятия не обязаны </w:t>
      </w:r>
      <w:proofErr w:type="gramStart"/>
      <w:r w:rsidRPr="00A02988">
        <w:rPr>
          <w:sz w:val="24"/>
          <w:lang w:bidi="ru-RU"/>
        </w:rPr>
        <w:t>предоставлять Отчет</w:t>
      </w:r>
      <w:proofErr w:type="gramEnd"/>
      <w:r w:rsidRPr="00A02988">
        <w:rPr>
          <w:sz w:val="24"/>
          <w:lang w:bidi="ru-RU"/>
        </w:rPr>
        <w:t xml:space="preserve"> о соблюдении требований Аффинажным предприятием. Поэтому Аффинажные предприятия публикуют политику своей компании в отношении цепочки поставок серебра и Краткий отчет Лондонской ассоциации участников рынка драгоценных металлов. Аффинажные предприятия не обязаны доводить до всеобщего сведения Приложение к Отчету, в котором раскрываются страны происхождения серебра.</w:t>
      </w:r>
    </w:p>
    <w:p w14:paraId="38DBF433" w14:textId="77777777" w:rsidR="004874BD" w:rsidRPr="00A02988" w:rsidRDefault="00777031" w:rsidP="00160F8C">
      <w:pPr>
        <w:pStyle w:val="2"/>
        <w:widowControl/>
        <w:tabs>
          <w:tab w:val="left" w:pos="426"/>
        </w:tabs>
        <w:spacing w:before="100" w:beforeAutospacing="1" w:after="100" w:afterAutospacing="1" w:line="320" w:lineRule="exact"/>
        <w:ind w:left="0" w:firstLine="0"/>
        <w:rPr>
          <w:sz w:val="24"/>
        </w:rPr>
      </w:pPr>
      <w:bookmarkStart w:id="30" w:name="ISAE_3000"/>
      <w:bookmarkEnd w:id="30"/>
      <w:r w:rsidRPr="00A02988">
        <w:rPr>
          <w:sz w:val="24"/>
          <w:lang w:bidi="ru-RU"/>
        </w:rPr>
        <w:t>ISAE 3000</w:t>
      </w:r>
    </w:p>
    <w:p w14:paraId="1128558A" w14:textId="25F9FFFB"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В отношении Заданий по подтверждению достоверности информации, Аффинажные предприятия обязаны составлять Отчет о соблюдении требований</w:t>
      </w:r>
      <w:r w:rsidR="00E35C37" w:rsidRPr="00A02988">
        <w:rPr>
          <w:sz w:val="24"/>
          <w:lang w:bidi="ru-RU"/>
        </w:rPr>
        <w:t xml:space="preserve"> </w:t>
      </w:r>
      <w:r w:rsidRPr="00A02988">
        <w:rPr>
          <w:sz w:val="24"/>
          <w:lang w:bidi="ru-RU"/>
        </w:rPr>
        <w:t>Аффинажным предприятием, содержащий следующую информацию:</w:t>
      </w:r>
    </w:p>
    <w:p w14:paraId="13D71AB4"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Название Аффинажного предприятия;</w:t>
      </w:r>
    </w:p>
    <w:p w14:paraId="3E281B7F"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Период соблюдения требований;</w:t>
      </w:r>
    </w:p>
    <w:p w14:paraId="23B3A224"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Страна происхождения Добытого и Переработанного серебра;</w:t>
      </w:r>
    </w:p>
    <w:p w14:paraId="3D601219"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160F8C">
        <w:rPr>
          <w:sz w:val="24"/>
          <w:lang w:bidi="ru-RU"/>
        </w:rPr>
        <w:t>Краткое описание действий, предпринятых в течение этого периода для демонстрации соблюдения требований;</w:t>
      </w:r>
    </w:p>
    <w:p w14:paraId="29A32CD0" w14:textId="77777777" w:rsidR="004874BD" w:rsidRPr="00160F8C"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Уровень соблюдения Аффинажным предприятием каждого шага в рамках данного Руководства;</w:t>
      </w:r>
    </w:p>
    <w:p w14:paraId="73FAF855"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Заключение Руководства предприятия о соблюдении требований данного Руководства;</w:t>
      </w:r>
    </w:p>
    <w:p w14:paraId="2582A50D" w14:textId="77777777"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Аффинажные предприятия должны довести свою внутреннюю политику в отношении цепочки поставок серебра, Отчет о соблюдении Аффинажным предприятием требований данного руководства, а также Отчет о подтверждении достоверности информации до всеобщего сведения. Аффинажные предприятия не обязаны доводить до всеобщего сведения Приложение к Отчету, в котором раскрываются страны происхождения серебра.</w:t>
      </w:r>
    </w:p>
    <w:p w14:paraId="227462E7" w14:textId="77777777" w:rsidR="004874BD" w:rsidRPr="00A02988" w:rsidRDefault="00777031" w:rsidP="00173500">
      <w:pPr>
        <w:pStyle w:val="2"/>
        <w:keepNext/>
        <w:widowControl/>
        <w:tabs>
          <w:tab w:val="left" w:pos="426"/>
        </w:tabs>
        <w:spacing w:before="100" w:beforeAutospacing="1" w:after="100" w:afterAutospacing="1" w:line="320" w:lineRule="exact"/>
        <w:ind w:left="0" w:firstLine="0"/>
        <w:rPr>
          <w:sz w:val="24"/>
        </w:rPr>
      </w:pPr>
      <w:bookmarkStart w:id="31" w:name="Corrective_Action_Plan"/>
      <w:bookmarkEnd w:id="31"/>
      <w:r w:rsidRPr="00A02988">
        <w:rPr>
          <w:sz w:val="24"/>
          <w:lang w:bidi="ru-RU"/>
        </w:rPr>
        <w:lastRenderedPageBreak/>
        <w:t>План корректирующих действий</w:t>
      </w:r>
    </w:p>
    <w:p w14:paraId="1C1B3030" w14:textId="71FD7104" w:rsidR="004874BD" w:rsidRPr="00A02988" w:rsidRDefault="00777031" w:rsidP="00160F8C">
      <w:pPr>
        <w:pStyle w:val="a3"/>
        <w:widowControl/>
        <w:tabs>
          <w:tab w:val="left" w:pos="426"/>
        </w:tabs>
        <w:spacing w:before="100" w:beforeAutospacing="1" w:after="100" w:afterAutospacing="1" w:line="320" w:lineRule="exact"/>
        <w:jc w:val="both"/>
        <w:rPr>
          <w:sz w:val="24"/>
        </w:rPr>
      </w:pPr>
      <w:r w:rsidRPr="00A02988">
        <w:rPr>
          <w:sz w:val="24"/>
          <w:lang w:bidi="ru-RU"/>
        </w:rPr>
        <w:t>Независимо от выбранного подхода к аудиту третьей стороной, при наличии несоответствий со средним риском, высоким риском или недопустимых соответствий и/или невыполнении Аффинажным предприятием одного или нескольких требований, изложенных в Шагах 1</w:t>
      </w:r>
      <w:r w:rsidR="005C5121" w:rsidRPr="00A02988">
        <w:rPr>
          <w:sz w:val="24"/>
          <w:lang w:bidi="ru-RU"/>
        </w:rPr>
        <w:t>–</w:t>
      </w:r>
      <w:r w:rsidRPr="00A02988">
        <w:rPr>
          <w:sz w:val="24"/>
          <w:lang w:bidi="ru-RU"/>
        </w:rPr>
        <w:t xml:space="preserve">5 данного </w:t>
      </w:r>
      <w:r w:rsidRPr="00A02988">
        <w:rPr>
          <w:i/>
          <w:sz w:val="24"/>
          <w:lang w:bidi="ru-RU"/>
        </w:rPr>
        <w:t>Руководства</w:t>
      </w:r>
      <w:r w:rsidRPr="00A02988">
        <w:rPr>
          <w:sz w:val="24"/>
          <w:lang w:bidi="ru-RU"/>
        </w:rPr>
        <w:t>, Аффинажные предприятия также предоставляют</w:t>
      </w:r>
      <w:r w:rsidR="00E35C37" w:rsidRPr="00A02988">
        <w:rPr>
          <w:sz w:val="24"/>
          <w:lang w:bidi="ru-RU"/>
        </w:rPr>
        <w:t xml:space="preserve"> </w:t>
      </w:r>
      <w:r w:rsidRPr="00A02988">
        <w:rPr>
          <w:sz w:val="24"/>
          <w:lang w:bidi="ru-RU"/>
        </w:rPr>
        <w:t>План корректирующих действий Физическому комитету Лондонской ассоциации участников рынка драгоценных металлов.</w:t>
      </w:r>
    </w:p>
    <w:p w14:paraId="5D76F3B9" w14:textId="77777777" w:rsidR="004874BD" w:rsidRPr="00A02988" w:rsidRDefault="00777031" w:rsidP="00160F8C">
      <w:pPr>
        <w:pStyle w:val="a3"/>
        <w:widowControl/>
        <w:tabs>
          <w:tab w:val="left" w:pos="426"/>
        </w:tabs>
        <w:spacing w:before="100" w:beforeAutospacing="1" w:after="100" w:afterAutospacing="1" w:line="320" w:lineRule="exact"/>
        <w:rPr>
          <w:sz w:val="24"/>
        </w:rPr>
      </w:pPr>
      <w:r w:rsidRPr="00A02988">
        <w:rPr>
          <w:sz w:val="24"/>
          <w:lang w:bidi="ru-RU"/>
        </w:rPr>
        <w:t>План корректирующих действий Аффинажного предприятия должен включать (по каждому выявленному несоответствию со средним риском, с высоким риском и по каждому недопустимому несоответствию):</w:t>
      </w:r>
    </w:p>
    <w:p w14:paraId="033B2411"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Описание проблемы;</w:t>
      </w:r>
    </w:p>
    <w:p w14:paraId="0EE33F20" w14:textId="77777777" w:rsidR="004874BD" w:rsidRPr="00160F8C"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Ссылку на соответствующий раздел данного Руководства;</w:t>
      </w:r>
    </w:p>
    <w:p w14:paraId="3EF962C7"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Присвоенный рейтинг риска несоответствия;</w:t>
      </w:r>
    </w:p>
    <w:p w14:paraId="004F46F6"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Корректирующие действия, которые должны быть предприняты для каждого выявленного несоответствия;</w:t>
      </w:r>
    </w:p>
    <w:p w14:paraId="7C61F699" w14:textId="77777777" w:rsidR="004874BD" w:rsidRPr="00A02988" w:rsidRDefault="00777031" w:rsidP="00160F8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 xml:space="preserve">Сроки выполнения корректирующих действий для каждого выявленного несоответствия; </w:t>
      </w:r>
    </w:p>
    <w:p w14:paraId="553E445E" w14:textId="77777777" w:rsidR="004874BD" w:rsidRPr="00A02988" w:rsidRDefault="00777031" w:rsidP="00057DAC">
      <w:pPr>
        <w:pStyle w:val="a5"/>
        <w:widowControl/>
        <w:numPr>
          <w:ilvl w:val="0"/>
          <w:numId w:val="3"/>
        </w:numPr>
        <w:tabs>
          <w:tab w:val="left" w:pos="426"/>
          <w:tab w:val="left" w:pos="685"/>
          <w:tab w:val="left" w:pos="686"/>
        </w:tabs>
        <w:spacing w:after="120"/>
        <w:ind w:left="0" w:firstLine="0"/>
        <w:rPr>
          <w:sz w:val="24"/>
          <w:lang w:bidi="ru-RU"/>
        </w:rPr>
      </w:pPr>
      <w:r w:rsidRPr="00A02988">
        <w:rPr>
          <w:sz w:val="24"/>
          <w:lang w:bidi="ru-RU"/>
        </w:rPr>
        <w:t>Лицо, ответственное за выполнение каждого корректирующего действия.</w:t>
      </w:r>
    </w:p>
    <w:p w14:paraId="50D1AAE1" w14:textId="77777777" w:rsidR="004874BD" w:rsidRPr="00A02988" w:rsidRDefault="004874BD" w:rsidP="00160F8C">
      <w:pPr>
        <w:pStyle w:val="a5"/>
        <w:widowControl/>
        <w:numPr>
          <w:ilvl w:val="0"/>
          <w:numId w:val="3"/>
        </w:numPr>
        <w:tabs>
          <w:tab w:val="left" w:pos="426"/>
          <w:tab w:val="left" w:pos="685"/>
          <w:tab w:val="left" w:pos="686"/>
        </w:tabs>
        <w:spacing w:after="120"/>
        <w:ind w:left="0" w:firstLine="0"/>
        <w:rPr>
          <w:sz w:val="24"/>
          <w:lang w:bidi="ru-RU"/>
        </w:rPr>
        <w:sectPr w:rsidR="004874BD" w:rsidRPr="00A02988" w:rsidSect="00173500">
          <w:footerReference w:type="default" r:id="rId11"/>
          <w:pgSz w:w="11907" w:h="16840" w:code="9"/>
          <w:pgMar w:top="1134" w:right="1134" w:bottom="1134" w:left="1134" w:header="0" w:footer="0" w:gutter="0"/>
          <w:cols w:space="720"/>
        </w:sectPr>
      </w:pPr>
    </w:p>
    <w:p w14:paraId="6756EA32" w14:textId="2A14A1EB" w:rsidR="004874BD" w:rsidRPr="00A02988" w:rsidRDefault="00A02988" w:rsidP="00A02988">
      <w:pPr>
        <w:pStyle w:val="2"/>
        <w:spacing w:before="100" w:beforeAutospacing="1" w:after="100" w:afterAutospacing="1" w:line="320" w:lineRule="exact"/>
        <w:ind w:left="0" w:firstLine="0"/>
        <w:rPr>
          <w:sz w:val="32"/>
        </w:rPr>
      </w:pPr>
      <w:bookmarkStart w:id="32" w:name="EFFECTIVE_DATE"/>
      <w:bookmarkEnd w:id="32"/>
      <w:r w:rsidRPr="00A02988">
        <w:rPr>
          <w:sz w:val="32"/>
        </w:rPr>
        <w:lastRenderedPageBreak/>
        <w:t>Дата вступления в силу</w:t>
      </w:r>
    </w:p>
    <w:p w14:paraId="5B949D9E" w14:textId="77777777" w:rsidR="004874BD" w:rsidRPr="00A02988" w:rsidRDefault="00777031" w:rsidP="00057DAC">
      <w:pPr>
        <w:pStyle w:val="a3"/>
        <w:widowControl/>
        <w:tabs>
          <w:tab w:val="left" w:pos="426"/>
        </w:tabs>
        <w:spacing w:after="120"/>
        <w:rPr>
          <w:sz w:val="24"/>
        </w:rPr>
      </w:pPr>
      <w:r w:rsidRPr="00A02988">
        <w:rPr>
          <w:sz w:val="24"/>
          <w:lang w:bidi="ru-RU"/>
        </w:rPr>
        <w:t>Аффинажные предприятия должны применять данное Руководство (версия 1) в отношении своего годового периода, начинающегося 1 января 2018 г. или после этой даты. Приветствуется более раннее применение.</w:t>
      </w:r>
    </w:p>
    <w:sectPr w:rsidR="004874BD" w:rsidRPr="00A02988" w:rsidSect="00173500">
      <w:footerReference w:type="default" r:id="rId12"/>
      <w:pgSz w:w="11907" w:h="16840" w:code="9"/>
      <w:pgMar w:top="1134"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5531E" w14:textId="77777777" w:rsidR="0065694B" w:rsidRDefault="0065694B">
      <w:r>
        <w:separator/>
      </w:r>
    </w:p>
  </w:endnote>
  <w:endnote w:type="continuationSeparator" w:id="0">
    <w:p w14:paraId="47CD1DE4" w14:textId="77777777" w:rsidR="0065694B" w:rsidRDefault="0065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60B11" w14:textId="022D4F83" w:rsidR="004874BD" w:rsidRDefault="0065694B">
    <w:pPr>
      <w:pStyle w:val="a3"/>
      <w:spacing w:line="14" w:lineRule="auto"/>
    </w:pPr>
    <w:r>
      <w:rPr>
        <w:lang w:bidi="ru-RU"/>
      </w:rPr>
      <w:pict w14:anchorId="77DB6AFF">
        <v:shapetype id="_x0000_t202" coordsize="21600,21600" o:spt="202" path="m,l,21600r21600,l21600,xe">
          <v:stroke joinstyle="miter"/>
          <v:path gradientshapeok="t" o:connecttype="rect"/>
        </v:shapetype>
        <v:shape id="docshape3" o:spid="_x0000_s2049" type="#_x0000_t202" style="position:absolute;margin-left:402.2pt;margin-top:807.35pt;width:129pt;height:13.15pt;z-index:-16005120;mso-position-horizontal-relative:page;mso-position-vertical-relative:page" filled="f" stroked="f">
          <v:textbox style="mso-next-textbox:#docshape3" inset="0,0,0,0">
            <w:txbxContent>
              <w:p w14:paraId="46F08B56" w14:textId="77777777" w:rsidR="004874BD" w:rsidRDefault="00777031">
                <w:pPr>
                  <w:pStyle w:val="a3"/>
                  <w:spacing w:before="12"/>
                  <w:ind w:left="20"/>
                </w:pPr>
                <w:r>
                  <w:rPr>
                    <w:lang w:bidi="ru-RU"/>
                  </w:rPr>
                  <w:t>Версия 1. Сентябрь 2017 г.</w:t>
                </w:r>
              </w:p>
            </w:txbxContent>
          </v:textbox>
          <w10:wrap anchorx="page" anchory="page"/>
        </v:shape>
      </w:pict>
    </w:r>
    <w:r>
      <w:rPr>
        <w:lang w:bidi="ru-RU"/>
      </w:rPr>
      <w:pict w14:anchorId="42E0300D">
        <v:shape id="docshape1" o:spid="_x0000_s2051" type="#_x0000_t202" style="position:absolute;margin-left:56.6pt;margin-top:798.65pt;width:290.8pt;height:24.4pt;z-index:-16006144;mso-position-horizontal-relative:page;mso-position-vertical-relative:page" filled="f" stroked="f">
          <v:textbox style="mso-next-textbox:#docshape1" inset="0,0,0,0">
            <w:txbxContent>
              <w:p w14:paraId="3CF916FB" w14:textId="77777777" w:rsidR="004874BD" w:rsidRDefault="00777031">
                <w:pPr>
                  <w:pStyle w:val="a3"/>
                  <w:spacing w:before="12"/>
                  <w:ind w:left="20"/>
                </w:pPr>
                <w:r>
                  <w:rPr>
                    <w:lang w:bidi="ru-RU"/>
                  </w:rPr>
                  <w:t>Руководство по ответственной работе с серебром Лондонской ассоциации участников рынка драгоценных металлов</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9496" w14:textId="77777777" w:rsidR="004874BD" w:rsidRDefault="004874BD">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E2DAB" w14:textId="77777777" w:rsidR="004874BD" w:rsidRDefault="004874BD">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3E21B" w14:textId="77777777" w:rsidR="004874BD" w:rsidRDefault="004874BD">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D3E82" w14:textId="77777777" w:rsidR="0065694B" w:rsidRDefault="0065694B">
      <w:r>
        <w:separator/>
      </w:r>
    </w:p>
  </w:footnote>
  <w:footnote w:type="continuationSeparator" w:id="0">
    <w:p w14:paraId="759AE7AC" w14:textId="77777777" w:rsidR="0065694B" w:rsidRDefault="0065694B">
      <w:r>
        <w:continuationSeparator/>
      </w:r>
    </w:p>
  </w:footnote>
  <w:footnote w:id="1">
    <w:p w14:paraId="24F049CA" w14:textId="5E69F3D6" w:rsidR="00AD1070" w:rsidRPr="00C249CA" w:rsidRDefault="00AD1070">
      <w:pPr>
        <w:pStyle w:val="aa"/>
      </w:pPr>
      <w:r>
        <w:rPr>
          <w:rStyle w:val="ac"/>
        </w:rPr>
        <w:footnoteRef/>
      </w:r>
      <w:r>
        <w:t xml:space="preserve"> </w:t>
      </w:r>
      <w:r>
        <w:rPr>
          <w:spacing w:val="-1"/>
          <w:sz w:val="16"/>
          <w:lang w:bidi="ru-RU"/>
        </w:rPr>
        <w:t xml:space="preserve">Управление Верховного комиссара ООН по правам человека: </w:t>
      </w:r>
      <w:hyperlink r:id="rId1">
        <w:r>
          <w:rPr>
            <w:color w:val="B83527"/>
            <w:sz w:val="16"/>
            <w:lang w:bidi="ru-RU"/>
          </w:rPr>
          <w:t>http://www2.ohchr.org/english/law/</w:t>
        </w:r>
      </w:hyperlink>
    </w:p>
  </w:footnote>
  <w:footnote w:id="2">
    <w:p w14:paraId="25C78BC4" w14:textId="4AC09833" w:rsidR="00AD1070" w:rsidRPr="00C249CA" w:rsidRDefault="00AD1070">
      <w:pPr>
        <w:pStyle w:val="aa"/>
      </w:pPr>
      <w:r>
        <w:rPr>
          <w:rStyle w:val="ac"/>
        </w:rPr>
        <w:footnoteRef/>
      </w:r>
      <w:r>
        <w:t xml:space="preserve"> </w:t>
      </w:r>
      <w:r w:rsidR="00057DAC">
        <w:rPr>
          <w:spacing w:val="-1"/>
          <w:sz w:val="16"/>
          <w:lang w:bidi="ru-RU"/>
        </w:rPr>
        <w:t xml:space="preserve">Управление Верховного комиссара ООН по правам человека: </w:t>
      </w:r>
      <w:hyperlink r:id="rId2" w:history="1">
        <w:r w:rsidR="00057DAC" w:rsidRPr="0046428D">
          <w:rPr>
            <w:rStyle w:val="ad"/>
            <w:sz w:val="16"/>
            <w:lang w:bidi="ru-RU"/>
          </w:rPr>
          <w:t>http://www2.ohchr.org/english/law/</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D6D"/>
    <w:multiLevelType w:val="hybridMultilevel"/>
    <w:tmpl w:val="05ACE6E0"/>
    <w:lvl w:ilvl="0" w:tplc="C8C4B7DA">
      <w:start w:val="1"/>
      <w:numFmt w:val="decimal"/>
      <w:lvlText w:val="%1."/>
      <w:lvlJc w:val="left"/>
      <w:pPr>
        <w:ind w:left="580" w:hanging="360"/>
        <w:jc w:val="left"/>
      </w:pPr>
      <w:rPr>
        <w:rFonts w:ascii="Arial" w:eastAsia="Arial" w:hAnsi="Arial" w:cs="Arial" w:hint="default"/>
        <w:b/>
        <w:bCs/>
        <w:i w:val="0"/>
        <w:iCs w:val="0"/>
        <w:spacing w:val="-2"/>
        <w:w w:val="98"/>
        <w:sz w:val="20"/>
        <w:szCs w:val="20"/>
        <w:lang w:val="en-US" w:eastAsia="en-US" w:bidi="ar-SA"/>
      </w:rPr>
    </w:lvl>
    <w:lvl w:ilvl="1" w:tplc="B70CF8E0">
      <w:numFmt w:val="bullet"/>
      <w:lvlText w:val="•"/>
      <w:lvlJc w:val="left"/>
      <w:pPr>
        <w:ind w:left="1510" w:hanging="360"/>
      </w:pPr>
      <w:rPr>
        <w:rFonts w:hint="default"/>
        <w:lang w:val="en-US" w:eastAsia="en-US" w:bidi="ar-SA"/>
      </w:rPr>
    </w:lvl>
    <w:lvl w:ilvl="2" w:tplc="433483D4">
      <w:numFmt w:val="bullet"/>
      <w:lvlText w:val="•"/>
      <w:lvlJc w:val="left"/>
      <w:pPr>
        <w:ind w:left="2440" w:hanging="360"/>
      </w:pPr>
      <w:rPr>
        <w:rFonts w:hint="default"/>
        <w:lang w:val="en-US" w:eastAsia="en-US" w:bidi="ar-SA"/>
      </w:rPr>
    </w:lvl>
    <w:lvl w:ilvl="3" w:tplc="C5A02C32">
      <w:numFmt w:val="bullet"/>
      <w:lvlText w:val="•"/>
      <w:lvlJc w:val="left"/>
      <w:pPr>
        <w:ind w:left="3370" w:hanging="360"/>
      </w:pPr>
      <w:rPr>
        <w:rFonts w:hint="default"/>
        <w:lang w:val="en-US" w:eastAsia="en-US" w:bidi="ar-SA"/>
      </w:rPr>
    </w:lvl>
    <w:lvl w:ilvl="4" w:tplc="F10A956A">
      <w:numFmt w:val="bullet"/>
      <w:lvlText w:val="•"/>
      <w:lvlJc w:val="left"/>
      <w:pPr>
        <w:ind w:left="4300" w:hanging="360"/>
      </w:pPr>
      <w:rPr>
        <w:rFonts w:hint="default"/>
        <w:lang w:val="en-US" w:eastAsia="en-US" w:bidi="ar-SA"/>
      </w:rPr>
    </w:lvl>
    <w:lvl w:ilvl="5" w:tplc="A510D8AA">
      <w:numFmt w:val="bullet"/>
      <w:lvlText w:val="•"/>
      <w:lvlJc w:val="left"/>
      <w:pPr>
        <w:ind w:left="5230" w:hanging="360"/>
      </w:pPr>
      <w:rPr>
        <w:rFonts w:hint="default"/>
        <w:lang w:val="en-US" w:eastAsia="en-US" w:bidi="ar-SA"/>
      </w:rPr>
    </w:lvl>
    <w:lvl w:ilvl="6" w:tplc="79E23A76">
      <w:numFmt w:val="bullet"/>
      <w:lvlText w:val="•"/>
      <w:lvlJc w:val="left"/>
      <w:pPr>
        <w:ind w:left="6160" w:hanging="360"/>
      </w:pPr>
      <w:rPr>
        <w:rFonts w:hint="default"/>
        <w:lang w:val="en-US" w:eastAsia="en-US" w:bidi="ar-SA"/>
      </w:rPr>
    </w:lvl>
    <w:lvl w:ilvl="7" w:tplc="1FA45D08">
      <w:numFmt w:val="bullet"/>
      <w:lvlText w:val="•"/>
      <w:lvlJc w:val="left"/>
      <w:pPr>
        <w:ind w:left="7090" w:hanging="360"/>
      </w:pPr>
      <w:rPr>
        <w:rFonts w:hint="default"/>
        <w:lang w:val="en-US" w:eastAsia="en-US" w:bidi="ar-SA"/>
      </w:rPr>
    </w:lvl>
    <w:lvl w:ilvl="8" w:tplc="63C4E31E">
      <w:numFmt w:val="bullet"/>
      <w:lvlText w:val="•"/>
      <w:lvlJc w:val="left"/>
      <w:pPr>
        <w:ind w:left="8020" w:hanging="360"/>
      </w:pPr>
      <w:rPr>
        <w:rFonts w:hint="default"/>
        <w:lang w:val="en-US" w:eastAsia="en-US" w:bidi="ar-SA"/>
      </w:rPr>
    </w:lvl>
  </w:abstractNum>
  <w:abstractNum w:abstractNumId="1">
    <w:nsid w:val="39511A5E"/>
    <w:multiLevelType w:val="hybridMultilevel"/>
    <w:tmpl w:val="94389FDE"/>
    <w:lvl w:ilvl="0" w:tplc="94307328">
      <w:numFmt w:val="bullet"/>
      <w:lvlText w:val=""/>
      <w:lvlJc w:val="left"/>
      <w:pPr>
        <w:ind w:left="5232" w:hanging="286"/>
      </w:pPr>
      <w:rPr>
        <w:rFonts w:ascii="Symbol" w:eastAsia="Symbol" w:hAnsi="Symbol" w:cs="Symbol" w:hint="default"/>
        <w:b w:val="0"/>
        <w:bCs w:val="0"/>
        <w:i w:val="0"/>
        <w:iCs w:val="0"/>
        <w:w w:val="97"/>
        <w:sz w:val="20"/>
        <w:szCs w:val="20"/>
        <w:lang w:val="en-US" w:eastAsia="en-US" w:bidi="ar-SA"/>
      </w:rPr>
    </w:lvl>
    <w:lvl w:ilvl="1" w:tplc="45A0A110">
      <w:numFmt w:val="bullet"/>
      <w:lvlText w:val="o"/>
      <w:lvlJc w:val="left"/>
      <w:pPr>
        <w:ind w:left="5512" w:hanging="276"/>
      </w:pPr>
      <w:rPr>
        <w:rFonts w:ascii="Courier New" w:eastAsia="Courier New" w:hAnsi="Courier New" w:cs="Courier New" w:hint="default"/>
        <w:b w:val="0"/>
        <w:bCs w:val="0"/>
        <w:i w:val="0"/>
        <w:iCs w:val="0"/>
        <w:w w:val="97"/>
        <w:sz w:val="20"/>
        <w:szCs w:val="20"/>
        <w:lang w:val="en-US" w:eastAsia="en-US" w:bidi="ar-SA"/>
      </w:rPr>
    </w:lvl>
    <w:lvl w:ilvl="2" w:tplc="4D1A59EA">
      <w:numFmt w:val="bullet"/>
      <w:lvlText w:val="•"/>
      <w:lvlJc w:val="left"/>
      <w:pPr>
        <w:ind w:left="5666" w:hanging="276"/>
      </w:pPr>
      <w:rPr>
        <w:rFonts w:hint="default"/>
        <w:lang w:val="en-US" w:eastAsia="en-US" w:bidi="ar-SA"/>
      </w:rPr>
    </w:lvl>
    <w:lvl w:ilvl="3" w:tplc="FE325D86">
      <w:numFmt w:val="bullet"/>
      <w:lvlText w:val="•"/>
      <w:lvlJc w:val="left"/>
      <w:pPr>
        <w:ind w:left="6778" w:hanging="276"/>
      </w:pPr>
      <w:rPr>
        <w:rFonts w:hint="default"/>
        <w:lang w:val="en-US" w:eastAsia="en-US" w:bidi="ar-SA"/>
      </w:rPr>
    </w:lvl>
    <w:lvl w:ilvl="4" w:tplc="6AC2FB5E">
      <w:numFmt w:val="bullet"/>
      <w:lvlText w:val="•"/>
      <w:lvlJc w:val="left"/>
      <w:pPr>
        <w:ind w:left="7891" w:hanging="276"/>
      </w:pPr>
      <w:rPr>
        <w:rFonts w:hint="default"/>
        <w:lang w:val="en-US" w:eastAsia="en-US" w:bidi="ar-SA"/>
      </w:rPr>
    </w:lvl>
    <w:lvl w:ilvl="5" w:tplc="DBDC2E16">
      <w:numFmt w:val="bullet"/>
      <w:lvlText w:val="•"/>
      <w:lvlJc w:val="left"/>
      <w:pPr>
        <w:ind w:left="9003" w:hanging="276"/>
      </w:pPr>
      <w:rPr>
        <w:rFonts w:hint="default"/>
        <w:lang w:val="en-US" w:eastAsia="en-US" w:bidi="ar-SA"/>
      </w:rPr>
    </w:lvl>
    <w:lvl w:ilvl="6" w:tplc="57ACD4D6">
      <w:numFmt w:val="bullet"/>
      <w:lvlText w:val="•"/>
      <w:lvlJc w:val="left"/>
      <w:pPr>
        <w:ind w:left="10116" w:hanging="276"/>
      </w:pPr>
      <w:rPr>
        <w:rFonts w:hint="default"/>
        <w:lang w:val="en-US" w:eastAsia="en-US" w:bidi="ar-SA"/>
      </w:rPr>
    </w:lvl>
    <w:lvl w:ilvl="7" w:tplc="D300480C">
      <w:numFmt w:val="bullet"/>
      <w:lvlText w:val="•"/>
      <w:lvlJc w:val="left"/>
      <w:pPr>
        <w:ind w:left="11228" w:hanging="276"/>
      </w:pPr>
      <w:rPr>
        <w:rFonts w:hint="default"/>
        <w:lang w:val="en-US" w:eastAsia="en-US" w:bidi="ar-SA"/>
      </w:rPr>
    </w:lvl>
    <w:lvl w:ilvl="8" w:tplc="8970F998">
      <w:numFmt w:val="bullet"/>
      <w:lvlText w:val="•"/>
      <w:lvlJc w:val="left"/>
      <w:pPr>
        <w:ind w:left="12341" w:hanging="276"/>
      </w:pPr>
      <w:rPr>
        <w:rFonts w:hint="default"/>
        <w:lang w:val="en-US" w:eastAsia="en-US" w:bidi="ar-SA"/>
      </w:rPr>
    </w:lvl>
  </w:abstractNum>
  <w:abstractNum w:abstractNumId="2">
    <w:nsid w:val="46AC67F0"/>
    <w:multiLevelType w:val="hybridMultilevel"/>
    <w:tmpl w:val="656A22F0"/>
    <w:lvl w:ilvl="0" w:tplc="D82CCD52">
      <w:start w:val="1"/>
      <w:numFmt w:val="decimal"/>
      <w:lvlText w:val="%1."/>
      <w:lvlJc w:val="left"/>
      <w:pPr>
        <w:ind w:left="546" w:hanging="286"/>
        <w:jc w:val="left"/>
      </w:pPr>
      <w:rPr>
        <w:rFonts w:ascii="Arial" w:eastAsia="Arial" w:hAnsi="Arial" w:cs="Arial" w:hint="default"/>
        <w:b/>
        <w:bCs/>
        <w:i w:val="0"/>
        <w:iCs w:val="0"/>
        <w:spacing w:val="-1"/>
        <w:w w:val="99"/>
        <w:sz w:val="20"/>
        <w:szCs w:val="20"/>
        <w:lang w:val="en-US" w:eastAsia="en-US" w:bidi="ar-SA"/>
      </w:rPr>
    </w:lvl>
    <w:lvl w:ilvl="1" w:tplc="430210D4">
      <w:numFmt w:val="bullet"/>
      <w:lvlText w:val="•"/>
      <w:lvlJc w:val="left"/>
      <w:pPr>
        <w:ind w:left="1474" w:hanging="286"/>
      </w:pPr>
      <w:rPr>
        <w:rFonts w:hint="default"/>
        <w:lang w:val="en-US" w:eastAsia="en-US" w:bidi="ar-SA"/>
      </w:rPr>
    </w:lvl>
    <w:lvl w:ilvl="2" w:tplc="D3668976">
      <w:numFmt w:val="bullet"/>
      <w:lvlText w:val="•"/>
      <w:lvlJc w:val="left"/>
      <w:pPr>
        <w:ind w:left="2408" w:hanging="286"/>
      </w:pPr>
      <w:rPr>
        <w:rFonts w:hint="default"/>
        <w:lang w:val="en-US" w:eastAsia="en-US" w:bidi="ar-SA"/>
      </w:rPr>
    </w:lvl>
    <w:lvl w:ilvl="3" w:tplc="E92AA7FC">
      <w:numFmt w:val="bullet"/>
      <w:lvlText w:val="•"/>
      <w:lvlJc w:val="left"/>
      <w:pPr>
        <w:ind w:left="3342" w:hanging="286"/>
      </w:pPr>
      <w:rPr>
        <w:rFonts w:hint="default"/>
        <w:lang w:val="en-US" w:eastAsia="en-US" w:bidi="ar-SA"/>
      </w:rPr>
    </w:lvl>
    <w:lvl w:ilvl="4" w:tplc="E77071A8">
      <w:numFmt w:val="bullet"/>
      <w:lvlText w:val="•"/>
      <w:lvlJc w:val="left"/>
      <w:pPr>
        <w:ind w:left="4276" w:hanging="286"/>
      </w:pPr>
      <w:rPr>
        <w:rFonts w:hint="default"/>
        <w:lang w:val="en-US" w:eastAsia="en-US" w:bidi="ar-SA"/>
      </w:rPr>
    </w:lvl>
    <w:lvl w:ilvl="5" w:tplc="9836D670">
      <w:numFmt w:val="bullet"/>
      <w:lvlText w:val="•"/>
      <w:lvlJc w:val="left"/>
      <w:pPr>
        <w:ind w:left="5210" w:hanging="286"/>
      </w:pPr>
      <w:rPr>
        <w:rFonts w:hint="default"/>
        <w:lang w:val="en-US" w:eastAsia="en-US" w:bidi="ar-SA"/>
      </w:rPr>
    </w:lvl>
    <w:lvl w:ilvl="6" w:tplc="2B56F336">
      <w:numFmt w:val="bullet"/>
      <w:lvlText w:val="•"/>
      <w:lvlJc w:val="left"/>
      <w:pPr>
        <w:ind w:left="6144" w:hanging="286"/>
      </w:pPr>
      <w:rPr>
        <w:rFonts w:hint="default"/>
        <w:lang w:val="en-US" w:eastAsia="en-US" w:bidi="ar-SA"/>
      </w:rPr>
    </w:lvl>
    <w:lvl w:ilvl="7" w:tplc="F12A7A68">
      <w:numFmt w:val="bullet"/>
      <w:lvlText w:val="•"/>
      <w:lvlJc w:val="left"/>
      <w:pPr>
        <w:ind w:left="7078" w:hanging="286"/>
      </w:pPr>
      <w:rPr>
        <w:rFonts w:hint="default"/>
        <w:lang w:val="en-US" w:eastAsia="en-US" w:bidi="ar-SA"/>
      </w:rPr>
    </w:lvl>
    <w:lvl w:ilvl="8" w:tplc="85CEA03E">
      <w:numFmt w:val="bullet"/>
      <w:lvlText w:val="•"/>
      <w:lvlJc w:val="left"/>
      <w:pPr>
        <w:ind w:left="8012" w:hanging="286"/>
      </w:pPr>
      <w:rPr>
        <w:rFonts w:hint="default"/>
        <w:lang w:val="en-US" w:eastAsia="en-US" w:bidi="ar-SA"/>
      </w:rPr>
    </w:lvl>
  </w:abstractNum>
  <w:abstractNum w:abstractNumId="3">
    <w:nsid w:val="5EA64C5E"/>
    <w:multiLevelType w:val="hybridMultilevel"/>
    <w:tmpl w:val="1160FFA8"/>
    <w:lvl w:ilvl="0" w:tplc="79CA95E4">
      <w:start w:val="1"/>
      <w:numFmt w:val="decimal"/>
      <w:lvlText w:val="%1."/>
      <w:lvlJc w:val="left"/>
      <w:pPr>
        <w:ind w:left="580" w:hanging="360"/>
        <w:jc w:val="left"/>
      </w:pPr>
      <w:rPr>
        <w:rFonts w:ascii="Arial" w:eastAsia="Arial" w:hAnsi="Arial" w:cs="Arial" w:hint="default"/>
        <w:b/>
        <w:bCs/>
        <w:i w:val="0"/>
        <w:iCs w:val="0"/>
        <w:spacing w:val="-2"/>
        <w:w w:val="98"/>
        <w:sz w:val="20"/>
        <w:szCs w:val="20"/>
        <w:lang w:val="en-US" w:eastAsia="en-US" w:bidi="ar-SA"/>
      </w:rPr>
    </w:lvl>
    <w:lvl w:ilvl="1" w:tplc="E2C2CB9A">
      <w:numFmt w:val="bullet"/>
      <w:lvlText w:val="•"/>
      <w:lvlJc w:val="left"/>
      <w:pPr>
        <w:ind w:left="1510" w:hanging="360"/>
      </w:pPr>
      <w:rPr>
        <w:rFonts w:hint="default"/>
        <w:lang w:val="en-US" w:eastAsia="en-US" w:bidi="ar-SA"/>
      </w:rPr>
    </w:lvl>
    <w:lvl w:ilvl="2" w:tplc="4D44C17E">
      <w:numFmt w:val="bullet"/>
      <w:lvlText w:val="•"/>
      <w:lvlJc w:val="left"/>
      <w:pPr>
        <w:ind w:left="2440" w:hanging="360"/>
      </w:pPr>
      <w:rPr>
        <w:rFonts w:hint="default"/>
        <w:lang w:val="en-US" w:eastAsia="en-US" w:bidi="ar-SA"/>
      </w:rPr>
    </w:lvl>
    <w:lvl w:ilvl="3" w:tplc="969ED03E">
      <w:numFmt w:val="bullet"/>
      <w:lvlText w:val="•"/>
      <w:lvlJc w:val="left"/>
      <w:pPr>
        <w:ind w:left="3370" w:hanging="360"/>
      </w:pPr>
      <w:rPr>
        <w:rFonts w:hint="default"/>
        <w:lang w:val="en-US" w:eastAsia="en-US" w:bidi="ar-SA"/>
      </w:rPr>
    </w:lvl>
    <w:lvl w:ilvl="4" w:tplc="6C3CCB72">
      <w:numFmt w:val="bullet"/>
      <w:lvlText w:val="•"/>
      <w:lvlJc w:val="left"/>
      <w:pPr>
        <w:ind w:left="4300" w:hanging="360"/>
      </w:pPr>
      <w:rPr>
        <w:rFonts w:hint="default"/>
        <w:lang w:val="en-US" w:eastAsia="en-US" w:bidi="ar-SA"/>
      </w:rPr>
    </w:lvl>
    <w:lvl w:ilvl="5" w:tplc="6CE4C804">
      <w:numFmt w:val="bullet"/>
      <w:lvlText w:val="•"/>
      <w:lvlJc w:val="left"/>
      <w:pPr>
        <w:ind w:left="5230" w:hanging="360"/>
      </w:pPr>
      <w:rPr>
        <w:rFonts w:hint="default"/>
        <w:lang w:val="en-US" w:eastAsia="en-US" w:bidi="ar-SA"/>
      </w:rPr>
    </w:lvl>
    <w:lvl w:ilvl="6" w:tplc="E3C22E04">
      <w:numFmt w:val="bullet"/>
      <w:lvlText w:val="•"/>
      <w:lvlJc w:val="left"/>
      <w:pPr>
        <w:ind w:left="6160" w:hanging="360"/>
      </w:pPr>
      <w:rPr>
        <w:rFonts w:hint="default"/>
        <w:lang w:val="en-US" w:eastAsia="en-US" w:bidi="ar-SA"/>
      </w:rPr>
    </w:lvl>
    <w:lvl w:ilvl="7" w:tplc="9FE481F2">
      <w:numFmt w:val="bullet"/>
      <w:lvlText w:val="•"/>
      <w:lvlJc w:val="left"/>
      <w:pPr>
        <w:ind w:left="7090" w:hanging="360"/>
      </w:pPr>
      <w:rPr>
        <w:rFonts w:hint="default"/>
        <w:lang w:val="en-US" w:eastAsia="en-US" w:bidi="ar-SA"/>
      </w:rPr>
    </w:lvl>
    <w:lvl w:ilvl="8" w:tplc="B0961AF8">
      <w:numFmt w:val="bullet"/>
      <w:lvlText w:val="•"/>
      <w:lvlJc w:val="left"/>
      <w:pPr>
        <w:ind w:left="8020" w:hanging="360"/>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74BD"/>
    <w:rsid w:val="000503F2"/>
    <w:rsid w:val="00057DAC"/>
    <w:rsid w:val="00081DBC"/>
    <w:rsid w:val="001450D1"/>
    <w:rsid w:val="00160F8C"/>
    <w:rsid w:val="00173500"/>
    <w:rsid w:val="002100D8"/>
    <w:rsid w:val="002B1E28"/>
    <w:rsid w:val="00341F54"/>
    <w:rsid w:val="00355BDD"/>
    <w:rsid w:val="00403DE4"/>
    <w:rsid w:val="00472206"/>
    <w:rsid w:val="004874BD"/>
    <w:rsid w:val="004E45EA"/>
    <w:rsid w:val="005C5121"/>
    <w:rsid w:val="005D7E46"/>
    <w:rsid w:val="0065694B"/>
    <w:rsid w:val="00666A74"/>
    <w:rsid w:val="00746CA7"/>
    <w:rsid w:val="00777031"/>
    <w:rsid w:val="009A4F5B"/>
    <w:rsid w:val="009F5F08"/>
    <w:rsid w:val="00A02988"/>
    <w:rsid w:val="00AD1070"/>
    <w:rsid w:val="00B11BBF"/>
    <w:rsid w:val="00B311FA"/>
    <w:rsid w:val="00C249CA"/>
    <w:rsid w:val="00C3288C"/>
    <w:rsid w:val="00D62ABA"/>
    <w:rsid w:val="00D77489"/>
    <w:rsid w:val="00E35C37"/>
    <w:rsid w:val="00E4746B"/>
    <w:rsid w:val="00E836C6"/>
    <w:rsid w:val="00EB596F"/>
    <w:rsid w:val="00F1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rPr>
  </w:style>
  <w:style w:type="paragraph" w:styleId="1">
    <w:name w:val="heading 1"/>
    <w:basedOn w:val="a"/>
    <w:uiPriority w:val="9"/>
    <w:qFormat/>
    <w:pPr>
      <w:spacing w:before="92"/>
      <w:ind w:left="220"/>
      <w:outlineLvl w:val="0"/>
    </w:pPr>
    <w:rPr>
      <w:b/>
      <w:bCs/>
      <w:sz w:val="28"/>
      <w:szCs w:val="28"/>
    </w:rPr>
  </w:style>
  <w:style w:type="paragraph" w:styleId="2">
    <w:name w:val="heading 2"/>
    <w:basedOn w:val="a"/>
    <w:uiPriority w:val="9"/>
    <w:unhideWhenUsed/>
    <w:qFormat/>
    <w:pPr>
      <w:ind w:left="580" w:hanging="360"/>
      <w:outlineLvl w:val="1"/>
    </w:pPr>
    <w:rPr>
      <w:b/>
      <w:bCs/>
      <w:sz w:val="20"/>
      <w:szCs w:val="20"/>
    </w:rPr>
  </w:style>
  <w:style w:type="paragraph" w:styleId="3">
    <w:name w:val="heading 3"/>
    <w:basedOn w:val="a"/>
    <w:uiPriority w:val="9"/>
    <w:unhideWhenUsed/>
    <w:qFormat/>
    <w:pPr>
      <w:ind w:left="219"/>
      <w:outlineLvl w:val="2"/>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85"/>
      <w:ind w:left="220"/>
    </w:pPr>
    <w:rPr>
      <w:b/>
      <w:bCs/>
      <w:sz w:val="48"/>
      <w:szCs w:val="48"/>
    </w:rPr>
  </w:style>
  <w:style w:type="paragraph" w:styleId="a5">
    <w:name w:val="List Paragraph"/>
    <w:basedOn w:val="a"/>
    <w:uiPriority w:val="1"/>
    <w:qFormat/>
    <w:pPr>
      <w:ind w:left="580"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D62ABA"/>
    <w:pPr>
      <w:tabs>
        <w:tab w:val="center" w:pos="4703"/>
        <w:tab w:val="right" w:pos="9406"/>
      </w:tabs>
    </w:pPr>
  </w:style>
  <w:style w:type="character" w:customStyle="1" w:styleId="a7">
    <w:name w:val="Верхний колонтитул Знак"/>
    <w:basedOn w:val="a0"/>
    <w:link w:val="a6"/>
    <w:uiPriority w:val="99"/>
    <w:rsid w:val="00D62ABA"/>
    <w:rPr>
      <w:rFonts w:ascii="Arial" w:eastAsia="Arial" w:hAnsi="Arial" w:cs="Arial"/>
    </w:rPr>
  </w:style>
  <w:style w:type="paragraph" w:styleId="a8">
    <w:name w:val="footer"/>
    <w:basedOn w:val="a"/>
    <w:link w:val="a9"/>
    <w:uiPriority w:val="99"/>
    <w:unhideWhenUsed/>
    <w:rsid w:val="00D62ABA"/>
    <w:pPr>
      <w:tabs>
        <w:tab w:val="center" w:pos="4703"/>
        <w:tab w:val="right" w:pos="9406"/>
      </w:tabs>
    </w:pPr>
  </w:style>
  <w:style w:type="character" w:customStyle="1" w:styleId="a9">
    <w:name w:val="Нижний колонтитул Знак"/>
    <w:basedOn w:val="a0"/>
    <w:link w:val="a8"/>
    <w:uiPriority w:val="99"/>
    <w:rsid w:val="00D62ABA"/>
    <w:rPr>
      <w:rFonts w:ascii="Arial" w:eastAsia="Arial" w:hAnsi="Arial" w:cs="Arial"/>
    </w:rPr>
  </w:style>
  <w:style w:type="paragraph" w:styleId="aa">
    <w:name w:val="footnote text"/>
    <w:basedOn w:val="a"/>
    <w:link w:val="ab"/>
    <w:uiPriority w:val="99"/>
    <w:semiHidden/>
    <w:unhideWhenUsed/>
    <w:rsid w:val="00AD1070"/>
    <w:rPr>
      <w:sz w:val="20"/>
      <w:szCs w:val="20"/>
    </w:rPr>
  </w:style>
  <w:style w:type="character" w:customStyle="1" w:styleId="ab">
    <w:name w:val="Текст сноски Знак"/>
    <w:basedOn w:val="a0"/>
    <w:link w:val="aa"/>
    <w:uiPriority w:val="99"/>
    <w:semiHidden/>
    <w:rsid w:val="00AD1070"/>
    <w:rPr>
      <w:rFonts w:ascii="Arial" w:eastAsia="Arial" w:hAnsi="Arial" w:cs="Arial"/>
      <w:sz w:val="20"/>
      <w:szCs w:val="20"/>
    </w:rPr>
  </w:style>
  <w:style w:type="character" w:styleId="ac">
    <w:name w:val="footnote reference"/>
    <w:basedOn w:val="a0"/>
    <w:uiPriority w:val="99"/>
    <w:semiHidden/>
    <w:unhideWhenUsed/>
    <w:rsid w:val="00AD1070"/>
    <w:rPr>
      <w:vertAlign w:val="superscript"/>
    </w:rPr>
  </w:style>
  <w:style w:type="character" w:styleId="ad">
    <w:name w:val="Hyperlink"/>
    <w:basedOn w:val="a0"/>
    <w:uiPriority w:val="99"/>
    <w:unhideWhenUsed/>
    <w:rsid w:val="00AD1070"/>
    <w:rPr>
      <w:color w:val="0000FF" w:themeColor="hyperlink"/>
      <w:u w:val="single"/>
    </w:rPr>
  </w:style>
  <w:style w:type="character" w:customStyle="1" w:styleId="UnresolvedMention">
    <w:name w:val="Unresolved Mention"/>
    <w:basedOn w:val="a0"/>
    <w:uiPriority w:val="99"/>
    <w:semiHidden/>
    <w:unhideWhenUsed/>
    <w:rsid w:val="00AD1070"/>
    <w:rPr>
      <w:color w:val="605E5C"/>
      <w:shd w:val="clear" w:color="auto" w:fill="E1DFDD"/>
    </w:rPr>
  </w:style>
  <w:style w:type="character" w:styleId="ae">
    <w:name w:val="annotation reference"/>
    <w:basedOn w:val="a0"/>
    <w:uiPriority w:val="99"/>
    <w:semiHidden/>
    <w:unhideWhenUsed/>
    <w:rsid w:val="00472206"/>
    <w:rPr>
      <w:sz w:val="16"/>
      <w:szCs w:val="16"/>
    </w:rPr>
  </w:style>
  <w:style w:type="paragraph" w:styleId="af">
    <w:name w:val="annotation text"/>
    <w:basedOn w:val="a"/>
    <w:link w:val="af0"/>
    <w:uiPriority w:val="99"/>
    <w:semiHidden/>
    <w:unhideWhenUsed/>
    <w:rsid w:val="00472206"/>
    <w:rPr>
      <w:sz w:val="20"/>
      <w:szCs w:val="20"/>
    </w:rPr>
  </w:style>
  <w:style w:type="character" w:customStyle="1" w:styleId="af0">
    <w:name w:val="Текст примечания Знак"/>
    <w:basedOn w:val="a0"/>
    <w:link w:val="af"/>
    <w:uiPriority w:val="99"/>
    <w:semiHidden/>
    <w:rsid w:val="00472206"/>
    <w:rPr>
      <w:rFonts w:ascii="Arial" w:eastAsia="Arial" w:hAnsi="Arial" w:cs="Arial"/>
      <w:sz w:val="20"/>
      <w:szCs w:val="20"/>
    </w:rPr>
  </w:style>
  <w:style w:type="paragraph" w:styleId="af1">
    <w:name w:val="annotation subject"/>
    <w:basedOn w:val="af"/>
    <w:next w:val="af"/>
    <w:link w:val="af2"/>
    <w:uiPriority w:val="99"/>
    <w:semiHidden/>
    <w:unhideWhenUsed/>
    <w:rsid w:val="00472206"/>
    <w:rPr>
      <w:b/>
      <w:bCs/>
    </w:rPr>
  </w:style>
  <w:style w:type="character" w:customStyle="1" w:styleId="af2">
    <w:name w:val="Тема примечания Знак"/>
    <w:basedOn w:val="af0"/>
    <w:link w:val="af1"/>
    <w:uiPriority w:val="99"/>
    <w:semiHidden/>
    <w:rsid w:val="00472206"/>
    <w:rPr>
      <w:rFonts w:ascii="Arial" w:eastAsia="Arial" w:hAnsi="Arial" w:cs="Arial"/>
      <w:b/>
      <w:bCs/>
      <w:sz w:val="20"/>
      <w:szCs w:val="20"/>
    </w:rPr>
  </w:style>
  <w:style w:type="paragraph" w:styleId="af3">
    <w:name w:val="Balloon Text"/>
    <w:basedOn w:val="a"/>
    <w:link w:val="af4"/>
    <w:uiPriority w:val="99"/>
    <w:semiHidden/>
    <w:unhideWhenUsed/>
    <w:rsid w:val="00472206"/>
    <w:rPr>
      <w:rFonts w:ascii="Segoe UI" w:hAnsi="Segoe UI" w:cs="Segoe UI"/>
      <w:sz w:val="18"/>
      <w:szCs w:val="18"/>
    </w:rPr>
  </w:style>
  <w:style w:type="character" w:customStyle="1" w:styleId="af4">
    <w:name w:val="Текст выноски Знак"/>
    <w:basedOn w:val="a0"/>
    <w:link w:val="af3"/>
    <w:uiPriority w:val="99"/>
    <w:semiHidden/>
    <w:rsid w:val="00472206"/>
    <w:rPr>
      <w:rFonts w:ascii="Segoe UI" w:eastAsia="Arial" w:hAnsi="Segoe UI" w:cs="Segoe UI"/>
      <w:sz w:val="18"/>
      <w:szCs w:val="18"/>
    </w:rPr>
  </w:style>
  <w:style w:type="paragraph" w:styleId="af5">
    <w:name w:val="Revision"/>
    <w:hidden/>
    <w:uiPriority w:val="99"/>
    <w:semiHidden/>
    <w:rsid w:val="00472206"/>
    <w:pPr>
      <w:widowControl/>
      <w:autoSpaceDE/>
      <w:autoSpaceDN/>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rPr>
  </w:style>
  <w:style w:type="paragraph" w:styleId="1">
    <w:name w:val="heading 1"/>
    <w:basedOn w:val="a"/>
    <w:uiPriority w:val="9"/>
    <w:qFormat/>
    <w:pPr>
      <w:spacing w:before="92"/>
      <w:ind w:left="220"/>
      <w:outlineLvl w:val="0"/>
    </w:pPr>
    <w:rPr>
      <w:b/>
      <w:bCs/>
      <w:sz w:val="28"/>
      <w:szCs w:val="28"/>
    </w:rPr>
  </w:style>
  <w:style w:type="paragraph" w:styleId="2">
    <w:name w:val="heading 2"/>
    <w:basedOn w:val="a"/>
    <w:uiPriority w:val="9"/>
    <w:unhideWhenUsed/>
    <w:qFormat/>
    <w:pPr>
      <w:ind w:left="580" w:hanging="360"/>
      <w:outlineLvl w:val="1"/>
    </w:pPr>
    <w:rPr>
      <w:b/>
      <w:bCs/>
      <w:sz w:val="20"/>
      <w:szCs w:val="20"/>
    </w:rPr>
  </w:style>
  <w:style w:type="paragraph" w:styleId="3">
    <w:name w:val="heading 3"/>
    <w:basedOn w:val="a"/>
    <w:uiPriority w:val="9"/>
    <w:unhideWhenUsed/>
    <w:qFormat/>
    <w:pPr>
      <w:ind w:left="219"/>
      <w:outlineLvl w:val="2"/>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85"/>
      <w:ind w:left="220"/>
    </w:pPr>
    <w:rPr>
      <w:b/>
      <w:bCs/>
      <w:sz w:val="48"/>
      <w:szCs w:val="48"/>
    </w:rPr>
  </w:style>
  <w:style w:type="paragraph" w:styleId="a5">
    <w:name w:val="List Paragraph"/>
    <w:basedOn w:val="a"/>
    <w:uiPriority w:val="1"/>
    <w:qFormat/>
    <w:pPr>
      <w:ind w:left="580"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D62ABA"/>
    <w:pPr>
      <w:tabs>
        <w:tab w:val="center" w:pos="4703"/>
        <w:tab w:val="right" w:pos="9406"/>
      </w:tabs>
    </w:pPr>
  </w:style>
  <w:style w:type="character" w:customStyle="1" w:styleId="a7">
    <w:name w:val="Верхний колонтитул Знак"/>
    <w:basedOn w:val="a0"/>
    <w:link w:val="a6"/>
    <w:uiPriority w:val="99"/>
    <w:rsid w:val="00D62ABA"/>
    <w:rPr>
      <w:rFonts w:ascii="Arial" w:eastAsia="Arial" w:hAnsi="Arial" w:cs="Arial"/>
    </w:rPr>
  </w:style>
  <w:style w:type="paragraph" w:styleId="a8">
    <w:name w:val="footer"/>
    <w:basedOn w:val="a"/>
    <w:link w:val="a9"/>
    <w:uiPriority w:val="99"/>
    <w:unhideWhenUsed/>
    <w:rsid w:val="00D62ABA"/>
    <w:pPr>
      <w:tabs>
        <w:tab w:val="center" w:pos="4703"/>
        <w:tab w:val="right" w:pos="9406"/>
      </w:tabs>
    </w:pPr>
  </w:style>
  <w:style w:type="character" w:customStyle="1" w:styleId="a9">
    <w:name w:val="Нижний колонтитул Знак"/>
    <w:basedOn w:val="a0"/>
    <w:link w:val="a8"/>
    <w:uiPriority w:val="99"/>
    <w:rsid w:val="00D62ABA"/>
    <w:rPr>
      <w:rFonts w:ascii="Arial" w:eastAsia="Arial" w:hAnsi="Arial" w:cs="Arial"/>
    </w:rPr>
  </w:style>
  <w:style w:type="paragraph" w:styleId="aa">
    <w:name w:val="footnote text"/>
    <w:basedOn w:val="a"/>
    <w:link w:val="ab"/>
    <w:uiPriority w:val="99"/>
    <w:semiHidden/>
    <w:unhideWhenUsed/>
    <w:rsid w:val="00AD1070"/>
    <w:rPr>
      <w:sz w:val="20"/>
      <w:szCs w:val="20"/>
    </w:rPr>
  </w:style>
  <w:style w:type="character" w:customStyle="1" w:styleId="ab">
    <w:name w:val="Текст сноски Знак"/>
    <w:basedOn w:val="a0"/>
    <w:link w:val="aa"/>
    <w:uiPriority w:val="99"/>
    <w:semiHidden/>
    <w:rsid w:val="00AD1070"/>
    <w:rPr>
      <w:rFonts w:ascii="Arial" w:eastAsia="Arial" w:hAnsi="Arial" w:cs="Arial"/>
      <w:sz w:val="20"/>
      <w:szCs w:val="20"/>
    </w:rPr>
  </w:style>
  <w:style w:type="character" w:styleId="ac">
    <w:name w:val="footnote reference"/>
    <w:basedOn w:val="a0"/>
    <w:uiPriority w:val="99"/>
    <w:semiHidden/>
    <w:unhideWhenUsed/>
    <w:rsid w:val="00AD1070"/>
    <w:rPr>
      <w:vertAlign w:val="superscript"/>
    </w:rPr>
  </w:style>
  <w:style w:type="character" w:styleId="ad">
    <w:name w:val="Hyperlink"/>
    <w:basedOn w:val="a0"/>
    <w:uiPriority w:val="99"/>
    <w:unhideWhenUsed/>
    <w:rsid w:val="00AD1070"/>
    <w:rPr>
      <w:color w:val="0000FF" w:themeColor="hyperlink"/>
      <w:u w:val="single"/>
    </w:rPr>
  </w:style>
  <w:style w:type="character" w:customStyle="1" w:styleId="UnresolvedMention">
    <w:name w:val="Unresolved Mention"/>
    <w:basedOn w:val="a0"/>
    <w:uiPriority w:val="99"/>
    <w:semiHidden/>
    <w:unhideWhenUsed/>
    <w:rsid w:val="00AD1070"/>
    <w:rPr>
      <w:color w:val="605E5C"/>
      <w:shd w:val="clear" w:color="auto" w:fill="E1DFDD"/>
    </w:rPr>
  </w:style>
  <w:style w:type="character" w:styleId="ae">
    <w:name w:val="annotation reference"/>
    <w:basedOn w:val="a0"/>
    <w:uiPriority w:val="99"/>
    <w:semiHidden/>
    <w:unhideWhenUsed/>
    <w:rsid w:val="00472206"/>
    <w:rPr>
      <w:sz w:val="16"/>
      <w:szCs w:val="16"/>
    </w:rPr>
  </w:style>
  <w:style w:type="paragraph" w:styleId="af">
    <w:name w:val="annotation text"/>
    <w:basedOn w:val="a"/>
    <w:link w:val="af0"/>
    <w:uiPriority w:val="99"/>
    <w:semiHidden/>
    <w:unhideWhenUsed/>
    <w:rsid w:val="00472206"/>
    <w:rPr>
      <w:sz w:val="20"/>
      <w:szCs w:val="20"/>
    </w:rPr>
  </w:style>
  <w:style w:type="character" w:customStyle="1" w:styleId="af0">
    <w:name w:val="Текст примечания Знак"/>
    <w:basedOn w:val="a0"/>
    <w:link w:val="af"/>
    <w:uiPriority w:val="99"/>
    <w:semiHidden/>
    <w:rsid w:val="00472206"/>
    <w:rPr>
      <w:rFonts w:ascii="Arial" w:eastAsia="Arial" w:hAnsi="Arial" w:cs="Arial"/>
      <w:sz w:val="20"/>
      <w:szCs w:val="20"/>
    </w:rPr>
  </w:style>
  <w:style w:type="paragraph" w:styleId="af1">
    <w:name w:val="annotation subject"/>
    <w:basedOn w:val="af"/>
    <w:next w:val="af"/>
    <w:link w:val="af2"/>
    <w:uiPriority w:val="99"/>
    <w:semiHidden/>
    <w:unhideWhenUsed/>
    <w:rsid w:val="00472206"/>
    <w:rPr>
      <w:b/>
      <w:bCs/>
    </w:rPr>
  </w:style>
  <w:style w:type="character" w:customStyle="1" w:styleId="af2">
    <w:name w:val="Тема примечания Знак"/>
    <w:basedOn w:val="af0"/>
    <w:link w:val="af1"/>
    <w:uiPriority w:val="99"/>
    <w:semiHidden/>
    <w:rsid w:val="00472206"/>
    <w:rPr>
      <w:rFonts w:ascii="Arial" w:eastAsia="Arial" w:hAnsi="Arial" w:cs="Arial"/>
      <w:b/>
      <w:bCs/>
      <w:sz w:val="20"/>
      <w:szCs w:val="20"/>
    </w:rPr>
  </w:style>
  <w:style w:type="paragraph" w:styleId="af3">
    <w:name w:val="Balloon Text"/>
    <w:basedOn w:val="a"/>
    <w:link w:val="af4"/>
    <w:uiPriority w:val="99"/>
    <w:semiHidden/>
    <w:unhideWhenUsed/>
    <w:rsid w:val="00472206"/>
    <w:rPr>
      <w:rFonts w:ascii="Segoe UI" w:hAnsi="Segoe UI" w:cs="Segoe UI"/>
      <w:sz w:val="18"/>
      <w:szCs w:val="18"/>
    </w:rPr>
  </w:style>
  <w:style w:type="character" w:customStyle="1" w:styleId="af4">
    <w:name w:val="Текст выноски Знак"/>
    <w:basedOn w:val="a0"/>
    <w:link w:val="af3"/>
    <w:uiPriority w:val="99"/>
    <w:semiHidden/>
    <w:rsid w:val="00472206"/>
    <w:rPr>
      <w:rFonts w:ascii="Segoe UI" w:eastAsia="Arial" w:hAnsi="Segoe UI" w:cs="Segoe UI"/>
      <w:sz w:val="18"/>
      <w:szCs w:val="18"/>
    </w:rPr>
  </w:style>
  <w:style w:type="paragraph" w:styleId="af5">
    <w:name w:val="Revision"/>
    <w:hidden/>
    <w:uiPriority w:val="99"/>
    <w:semiHidden/>
    <w:rsid w:val="0047220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ma.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2.ohchr.org/english/law/" TargetMode="External"/><Relationship Id="rId1" Type="http://schemas.openxmlformats.org/officeDocument/2006/relationships/hyperlink" Target="http://www2.ohchr.org/english/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23</Pages>
  <Words>6675</Words>
  <Characters>38049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LBMA Responsible Gold Guidance</vt:lpstr>
    </vt:vector>
  </TitlesOfParts>
  <Company/>
  <LinksUpToDate>false</LinksUpToDate>
  <CharactersWithSpaces>44635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LBMA Responsible Gold Guidance</dc:title>
  <dc:subject>V6 23 April 2015</dc:subject>
  <dc:creator>jacqueline mayor meylan</dc:creator>
  <cp:lastModifiedBy>Петрович Марианна Сергеевна</cp:lastModifiedBy>
  <cp:revision>22</cp:revision>
  <dcterms:created xsi:type="dcterms:W3CDTF">2021-08-11T18:16:00Z</dcterms:created>
  <dcterms:modified xsi:type="dcterms:W3CDTF">2021-09-17T06:28:00Z</dcterms:modified>
</cp:coreProperties>
</file>